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F7B1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5273040" cy="732853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789A2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A455BDC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中建电子CSCECIT信创便携式计算机</w:t>
      </w:r>
    </w:p>
    <w:p w14:paraId="1367E804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ZJDZ-HGBX101</w:t>
      </w:r>
    </w:p>
    <w:p w14:paraId="143CA4F7">
      <w:pPr>
        <w:spacing w:before="156" w:beforeLines="5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产品白皮书</w:t>
      </w:r>
    </w:p>
    <w:p w14:paraId="759164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65C7B65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9AB1FB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74EC8FD6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565BC0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F9F3C7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7434CE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51708B4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5CC6AF05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C60B64F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1B501C8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42C4F1A">
      <w:pPr>
        <w:widowControl/>
        <w:jc w:val="center"/>
        <w:rPr>
          <w:rFonts w:ascii="Times New Roman" w:hAnsi="Times New Roman" w:cs="Times New Roman"/>
          <w:szCs w:val="28"/>
        </w:rPr>
      </w:pPr>
    </w:p>
    <w:p w14:paraId="16F85AFC">
      <w:pPr>
        <w:widowControl/>
        <w:jc w:val="center"/>
      </w:pPr>
      <w:r>
        <w:rPr>
          <w:rFonts w:hint="eastAsia" w:ascii="宋体" w:hAnsi="宋体" w:eastAsia="宋体" w:cs="宋体"/>
          <w:sz w:val="28"/>
          <w:szCs w:val="28"/>
        </w:rPr>
        <w:t>中建电子信息技术有限公司</w:t>
      </w:r>
    </w:p>
    <w:p w14:paraId="50C73636">
      <w:pPr>
        <w:widowControl/>
        <w:jc w:val="center"/>
        <w:rPr>
          <w:rFonts w:hint="eastAsia" w:ascii="宋体" w:hAnsi="宋体" w:cs="宋体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2024年</w:t>
      </w:r>
      <w:r>
        <w:rPr>
          <w:rFonts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 w14:paraId="63C0562B"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="Times New Roman"/>
          <w:b/>
          <w:bCs/>
          <w:sz w:val="24"/>
          <w:szCs w:val="24"/>
          <w:lang w:val="zh-CN"/>
        </w:rPr>
        <w:id w:val="940881570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 w:val="0"/>
          <w:bCs w:val="0"/>
          <w:sz w:val="28"/>
          <w:szCs w:val="28"/>
          <w:lang w:val="zh-CN"/>
        </w:rPr>
      </w:sdtEndPr>
      <w:sdtContent>
        <w:p w14:paraId="555FFD57">
          <w:pPr>
            <w:spacing w:line="480" w:lineRule="auto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34C731F3">
          <w:pPr>
            <w:pStyle w:val="8"/>
            <w:tabs>
              <w:tab w:val="left" w:pos="630"/>
              <w:tab w:val="right" w:leader="dot" w:pos="8296"/>
            </w:tabs>
            <w:rPr>
              <w:szCs w:val="24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"_Toc171436465"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1、</w:t>
          </w:r>
          <w:r>
            <w:rPr>
              <w:szCs w:val="24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_Toc171436465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58D40DF8">
          <w:pPr>
            <w:pStyle w:val="8"/>
            <w:tabs>
              <w:tab w:val="left" w:pos="630"/>
              <w:tab w:val="right" w:leader="dot" w:pos="8296"/>
            </w:tabs>
            <w:rPr>
              <w:szCs w:val="24"/>
            </w:rPr>
          </w:pPr>
          <w:r>
            <w:fldChar w:fldCharType="begin"/>
          </w:r>
          <w:r>
            <w:instrText xml:space="preserve"> HYPERLINK \l "_Toc171436466"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2、</w:t>
          </w:r>
          <w:r>
            <w:rPr>
              <w:szCs w:val="24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产品特性</w:t>
          </w:r>
          <w:r>
            <w:tab/>
          </w:r>
          <w:r>
            <w:fldChar w:fldCharType="begin"/>
          </w:r>
          <w:r>
            <w:instrText xml:space="preserve"> PAGEREF _Toc171436466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A28C300">
          <w:pPr>
            <w:pStyle w:val="8"/>
            <w:tabs>
              <w:tab w:val="left" w:pos="630"/>
              <w:tab w:val="right" w:leader="dot" w:pos="8296"/>
            </w:tabs>
            <w:rPr>
              <w:szCs w:val="24"/>
            </w:rPr>
          </w:pPr>
          <w:r>
            <w:fldChar w:fldCharType="begin"/>
          </w:r>
          <w:r>
            <w:instrText xml:space="preserve"> HYPERLINK \l "_Toc171436467"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3、</w:t>
          </w:r>
          <w:r>
            <w:rPr>
              <w:szCs w:val="24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产品规格</w:t>
          </w:r>
          <w:r>
            <w:tab/>
          </w:r>
          <w:r>
            <w:fldChar w:fldCharType="begin"/>
          </w:r>
          <w:r>
            <w:instrText xml:space="preserve"> PAGEREF _Toc171436467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8CDC405">
          <w:pPr>
            <w:pStyle w:val="8"/>
            <w:tabs>
              <w:tab w:val="left" w:pos="630"/>
              <w:tab w:val="right" w:leader="dot" w:pos="8296"/>
            </w:tabs>
            <w:rPr>
              <w:szCs w:val="24"/>
            </w:rPr>
          </w:pPr>
          <w:r>
            <w:fldChar w:fldCharType="begin"/>
          </w:r>
          <w:r>
            <w:instrText xml:space="preserve"> HYPERLINK \l "_Toc171436468"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4、</w:t>
          </w:r>
          <w:r>
            <w:rPr>
              <w:szCs w:val="24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面板介绍</w:t>
          </w:r>
          <w:r>
            <w:tab/>
          </w:r>
          <w:r>
            <w:fldChar w:fldCharType="begin"/>
          </w:r>
          <w:r>
            <w:instrText xml:space="preserve"> PAGEREF _Toc171436468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8E5D8AC">
          <w:pPr>
            <w:pStyle w:val="8"/>
            <w:tabs>
              <w:tab w:val="left" w:pos="630"/>
              <w:tab w:val="right" w:leader="dot" w:pos="8296"/>
            </w:tabs>
            <w:rPr>
              <w:szCs w:val="24"/>
            </w:rPr>
          </w:pPr>
          <w:r>
            <w:fldChar w:fldCharType="begin"/>
          </w:r>
          <w:r>
            <w:instrText xml:space="preserve"> HYPERLINK \l "_Toc171436469"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5、</w:t>
          </w:r>
          <w:r>
            <w:rPr>
              <w:szCs w:val="24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典型应用</w:t>
          </w:r>
          <w:r>
            <w:tab/>
          </w:r>
          <w:r>
            <w:fldChar w:fldCharType="begin"/>
          </w:r>
          <w:r>
            <w:instrText xml:space="preserve"> PAGEREF _Toc171436469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6B3020AE">
          <w:pPr>
            <w:snapToGrid w:val="0"/>
            <w:spacing w:line="480" w:lineRule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val="zh-CN"/>
            </w:rPr>
            <w:fldChar w:fldCharType="end"/>
          </w:r>
        </w:p>
      </w:sdtContent>
    </w:sdt>
    <w:p w14:paraId="60BE1862">
      <w:pPr>
        <w:pStyle w:val="17"/>
        <w:pageBreakBefore/>
        <w:numPr>
          <w:ilvl w:val="0"/>
          <w:numId w:val="1"/>
        </w:numPr>
        <w:snapToGrid w:val="0"/>
        <w:spacing w:before="156" w:beforeLines="50" w:line="360" w:lineRule="auto"/>
        <w:ind w:firstLineChars="0"/>
        <w:outlineLvl w:val="0"/>
        <w:rPr>
          <w:rFonts w:hint="eastAsia" w:ascii="宋体" w:hAnsi="宋体" w:eastAsia="宋体" w:cs="宋体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014D291E">
      <w:pPr>
        <w:numPr>
          <w:ilvl w:val="0"/>
          <w:numId w:val="1"/>
        </w:numPr>
        <w:spacing w:before="156" w:beforeLines="50" w:line="360" w:lineRule="auto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0" w:name="_Toc171436465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产品概述</w:t>
      </w:r>
      <w:bookmarkEnd w:id="0"/>
    </w:p>
    <w:p w14:paraId="082F1E1F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中建电子CSCECIT信创便携式计算机ZJDZ-HGBX101</w:t>
      </w:r>
      <w:r>
        <w:rPr>
          <w:rFonts w:asciiTheme="minorEastAsia" w:hAnsiTheme="minorEastAsia"/>
          <w:sz w:val="24"/>
          <w:szCs w:val="24"/>
        </w:rPr>
        <w:t>，是基于国产</w:t>
      </w:r>
      <w:r>
        <w:rPr>
          <w:rFonts w:hint="eastAsia" w:asciiTheme="minorEastAsia" w:hAnsiTheme="minorEastAsia"/>
          <w:sz w:val="24"/>
          <w:szCs w:val="24"/>
        </w:rPr>
        <w:t>海光</w:t>
      </w:r>
      <w:r>
        <w:rPr>
          <w:rFonts w:asciiTheme="minorEastAsia" w:hAnsiTheme="minorEastAsia"/>
          <w:sz w:val="24"/>
          <w:szCs w:val="24"/>
        </w:rPr>
        <w:t>3350</w:t>
      </w:r>
      <w:r>
        <w:rPr>
          <w:rFonts w:hint="eastAsia" w:asciiTheme="minorEastAsia" w:hAnsiTheme="minorEastAsia"/>
          <w:sz w:val="24"/>
          <w:szCs w:val="24"/>
        </w:rPr>
        <w:t>M</w:t>
      </w:r>
      <w:r>
        <w:rPr>
          <w:rFonts w:asciiTheme="minorEastAsia" w:hAnsiTheme="minorEastAsia"/>
          <w:sz w:val="24"/>
          <w:szCs w:val="24"/>
        </w:rPr>
        <w:t>处理器研制，</w:t>
      </w:r>
      <w:r>
        <w:rPr>
          <w:rFonts w:hint="eastAsia" w:asciiTheme="minorEastAsia" w:hAnsiTheme="minorEastAsia"/>
          <w:sz w:val="24"/>
          <w:szCs w:val="24"/>
        </w:rPr>
        <w:t>搭载国产操作系统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Theme="minorEastAsia" w:hAnsiTheme="minorEastAsia"/>
          <w:sz w:val="24"/>
          <w:szCs w:val="24"/>
        </w:rPr>
        <w:t>采用铝合金外观设计，表面经过精致的拉丝工艺处理，搭配14英寸高清窄边框广视角显示屏，内置大容量电池，支持快充、反向充电，轻松适应各种办公环境。</w:t>
      </w:r>
    </w:p>
    <w:p w14:paraId="12A343E9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本</w:t>
      </w:r>
      <w:r>
        <w:rPr>
          <w:rFonts w:asciiTheme="minorEastAsia" w:hAnsiTheme="minorEastAsia"/>
          <w:sz w:val="24"/>
          <w:szCs w:val="24"/>
        </w:rPr>
        <w:t>产品严格遵循国家相关标准要求，具有性能强劲、应用流畅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体积</w:t>
      </w:r>
      <w:r>
        <w:rPr>
          <w:rFonts w:hint="eastAsia" w:asciiTheme="minorEastAsia" w:hAnsiTheme="minorEastAsia"/>
          <w:sz w:val="24"/>
          <w:szCs w:val="24"/>
        </w:rPr>
        <w:t>小巧</w:t>
      </w:r>
      <w:r>
        <w:rPr>
          <w:rFonts w:asciiTheme="minorEastAsia" w:hAnsiTheme="minorEastAsia"/>
          <w:sz w:val="24"/>
          <w:szCs w:val="24"/>
        </w:rPr>
        <w:t>等</w:t>
      </w:r>
      <w:r>
        <w:rPr>
          <w:rFonts w:hint="eastAsia" w:asciiTheme="minorEastAsia" w:hAnsiTheme="minorEastAsia"/>
          <w:sz w:val="24"/>
          <w:szCs w:val="24"/>
        </w:rPr>
        <w:t>特点，可广泛应用于党政、金融、电信、能源、建筑等行业和领域办公环境。</w:t>
      </w:r>
    </w:p>
    <w:p w14:paraId="1C710CEA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2202180" cy="1839595"/>
            <wp:effectExtent l="0" t="0" r="0" b="0"/>
            <wp:docPr id="939903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03515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392" cy="183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1EE0">
      <w:pPr>
        <w:jc w:val="center"/>
        <w:rPr>
          <w:rFonts w:hint="eastAsia" w:ascii="宋体" w:hAnsi="宋体" w:eastAsia="宋体" w:cstheme="majorBidi"/>
          <w:sz w:val="18"/>
          <w:szCs w:val="18"/>
        </w:rPr>
      </w:pPr>
      <w:r>
        <w:rPr>
          <w:rFonts w:hint="eastAsia" w:ascii="宋体" w:hAnsi="宋体" w:eastAsia="宋体" w:cstheme="majorBidi"/>
          <w:sz w:val="18"/>
          <w:szCs w:val="18"/>
        </w:rPr>
        <w:t>图</w:t>
      </w:r>
      <w:r>
        <w:rPr>
          <w:rFonts w:eastAsia="黑体" w:asciiTheme="majorHAnsi" w:hAnsiTheme="majorHAnsi" w:cstheme="majorBidi"/>
          <w:sz w:val="20"/>
          <w:szCs w:val="20"/>
        </w:rPr>
        <w:fldChar w:fldCharType="begin"/>
      </w:r>
      <w:r>
        <w:rPr>
          <w:rFonts w:eastAsia="黑体" w:asciiTheme="majorHAnsi" w:hAnsiTheme="majorHAnsi" w:cstheme="majorBidi"/>
          <w:sz w:val="20"/>
          <w:szCs w:val="20"/>
        </w:rPr>
        <w:instrText xml:space="preserve"> </w:instrText>
      </w:r>
      <w:r>
        <w:rPr>
          <w:rFonts w:hint="eastAsia" w:eastAsia="黑体" w:asciiTheme="majorHAnsi" w:hAnsiTheme="majorHAnsi" w:cstheme="majorBidi"/>
          <w:sz w:val="20"/>
          <w:szCs w:val="20"/>
        </w:rPr>
        <w:instrText xml:space="preserve">SEQ 图表 \* ARABIC</w:instrText>
      </w:r>
      <w:r>
        <w:rPr>
          <w:rFonts w:eastAsia="黑体" w:asciiTheme="majorHAnsi" w:hAnsiTheme="majorHAnsi" w:cstheme="majorBidi"/>
          <w:sz w:val="20"/>
          <w:szCs w:val="20"/>
        </w:rPr>
        <w:instrText xml:space="preserve"> </w:instrText>
      </w:r>
      <w:r>
        <w:rPr>
          <w:rFonts w:eastAsia="黑体" w:asciiTheme="majorHAnsi" w:hAnsiTheme="majorHAnsi" w:cstheme="majorBidi"/>
          <w:sz w:val="20"/>
          <w:szCs w:val="20"/>
        </w:rPr>
        <w:fldChar w:fldCharType="separate"/>
      </w:r>
      <w:r>
        <w:rPr>
          <w:rFonts w:eastAsia="黑体" w:asciiTheme="majorHAnsi" w:hAnsiTheme="majorHAnsi" w:cstheme="majorBidi"/>
          <w:sz w:val="20"/>
          <w:szCs w:val="20"/>
        </w:rPr>
        <w:t>1</w:t>
      </w:r>
      <w:r>
        <w:rPr>
          <w:rFonts w:eastAsia="黑体" w:asciiTheme="majorHAnsi" w:hAnsiTheme="majorHAnsi" w:cstheme="majorBidi"/>
          <w:sz w:val="20"/>
          <w:szCs w:val="20"/>
        </w:rPr>
        <w:fldChar w:fldCharType="end"/>
      </w:r>
      <w:r>
        <w:rPr>
          <w:rFonts w:eastAsia="黑体" w:asciiTheme="majorHAnsi" w:hAnsiTheme="majorHAnsi" w:cstheme="majorBidi"/>
          <w:sz w:val="20"/>
          <w:szCs w:val="20"/>
        </w:rPr>
        <w:t xml:space="preserve"> </w:t>
      </w:r>
      <w:r>
        <w:rPr>
          <w:rFonts w:hint="eastAsia" w:ascii="宋体" w:hAnsi="宋体" w:eastAsia="宋体" w:cstheme="majorBidi"/>
          <w:sz w:val="18"/>
          <w:szCs w:val="18"/>
        </w:rPr>
        <w:t>产品外观图</w:t>
      </w:r>
    </w:p>
    <w:p w14:paraId="50F23980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本产品的逻辑架构图：</w:t>
      </w:r>
    </w:p>
    <w:p w14:paraId="7794B59E">
      <w:pPr>
        <w:jc w:val="center"/>
      </w:pPr>
      <w:r>
        <w:drawing>
          <wp:inline distT="0" distB="0" distL="0" distR="0">
            <wp:extent cx="3870960" cy="3015615"/>
            <wp:effectExtent l="0" t="0" r="2540" b="0"/>
            <wp:docPr id="586823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2374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58" cy="30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719A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2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sz w:val="18"/>
          <w:szCs w:val="18"/>
        </w:rPr>
        <w:t>逻辑架构图</w:t>
      </w:r>
    </w:p>
    <w:p w14:paraId="21FAD685">
      <w:pPr>
        <w:widowControl/>
        <w:jc w:val="left"/>
        <w:rPr>
          <w:rFonts w:hint="eastAsia"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br w:type="page"/>
      </w:r>
    </w:p>
    <w:p w14:paraId="5AE0A69C">
      <w:pPr>
        <w:numPr>
          <w:ilvl w:val="0"/>
          <w:numId w:val="1"/>
        </w:numPr>
        <w:spacing w:before="156" w:beforeLines="50" w:line="360" w:lineRule="auto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1" w:name="_Toc171436466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产品特性</w:t>
      </w:r>
      <w:bookmarkEnd w:id="1"/>
    </w:p>
    <w:p w14:paraId="77648762">
      <w:pPr>
        <w:numPr>
          <w:ilvl w:val="0"/>
          <w:numId w:val="2"/>
        </w:numPr>
        <w:snapToGrid w:val="0"/>
        <w:spacing w:before="156" w:beforeLines="50" w:after="156" w:afterLines="50" w:line="360" w:lineRule="auto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完全国产，自主可控</w:t>
      </w:r>
    </w:p>
    <w:p w14:paraId="66AABD33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ZJDZ-HGBX101便携式计算机搭载</w:t>
      </w:r>
      <w:r>
        <w:rPr>
          <w:rFonts w:asciiTheme="minorEastAsia" w:hAnsiTheme="minorEastAsia"/>
          <w:sz w:val="24"/>
          <w:szCs w:val="24"/>
        </w:rPr>
        <w:t>国产</w:t>
      </w:r>
      <w:r>
        <w:rPr>
          <w:rFonts w:hint="eastAsia" w:asciiTheme="minorEastAsia" w:hAnsiTheme="minorEastAsia"/>
          <w:sz w:val="24"/>
          <w:szCs w:val="24"/>
        </w:rPr>
        <w:t>芯片</w:t>
      </w:r>
      <w:r>
        <w:rPr>
          <w:rFonts w:asciiTheme="minorEastAsia" w:hAnsiTheme="minorEastAsia"/>
          <w:sz w:val="24"/>
          <w:szCs w:val="24"/>
        </w:rPr>
        <w:t>、国产操作系统、</w:t>
      </w:r>
      <w:r>
        <w:rPr>
          <w:rFonts w:hint="eastAsia" w:asciiTheme="minorEastAsia" w:hAnsiTheme="minorEastAsia"/>
          <w:sz w:val="24"/>
          <w:szCs w:val="24"/>
        </w:rPr>
        <w:t>国产固件、</w:t>
      </w:r>
      <w:r>
        <w:rPr>
          <w:rFonts w:asciiTheme="minorEastAsia" w:hAnsiTheme="minorEastAsia"/>
          <w:sz w:val="24"/>
          <w:szCs w:val="24"/>
        </w:rPr>
        <w:t>国产内存、</w:t>
      </w:r>
      <w:r>
        <w:rPr>
          <w:rFonts w:hint="eastAsia" w:asciiTheme="minorEastAsia" w:hAnsiTheme="minorEastAsia"/>
          <w:sz w:val="24"/>
          <w:szCs w:val="24"/>
        </w:rPr>
        <w:t>国产</w:t>
      </w:r>
      <w:r>
        <w:rPr>
          <w:rFonts w:asciiTheme="minorEastAsia" w:hAnsiTheme="minorEastAsia"/>
          <w:sz w:val="24"/>
          <w:szCs w:val="24"/>
        </w:rPr>
        <w:t>硬盘</w:t>
      </w:r>
      <w:r>
        <w:rPr>
          <w:rFonts w:hint="eastAsia" w:asciiTheme="minorEastAsia" w:hAnsiTheme="minorEastAsia"/>
          <w:sz w:val="24"/>
          <w:szCs w:val="24"/>
        </w:rPr>
        <w:t>、国产独立</w:t>
      </w:r>
      <w:r>
        <w:rPr>
          <w:rFonts w:asciiTheme="minorEastAsia" w:hAnsiTheme="minorEastAsia"/>
          <w:sz w:val="24"/>
          <w:szCs w:val="24"/>
        </w:rPr>
        <w:t>显卡，所有的软硬件产品</w:t>
      </w:r>
      <w:r>
        <w:rPr>
          <w:rFonts w:hint="eastAsia" w:asciiTheme="minorEastAsia" w:hAnsiTheme="minorEastAsia"/>
          <w:sz w:val="24"/>
          <w:szCs w:val="24"/>
        </w:rPr>
        <w:t>均为国产，实现全面的自主可控。</w:t>
      </w:r>
    </w:p>
    <w:p w14:paraId="3F293E72">
      <w:pPr>
        <w:numPr>
          <w:ilvl w:val="0"/>
          <w:numId w:val="2"/>
        </w:numPr>
        <w:snapToGrid w:val="0"/>
        <w:spacing w:before="156" w:beforeLines="50" w:after="156" w:afterLines="50" w:line="360" w:lineRule="auto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轻薄质感，畅享奢华</w:t>
      </w:r>
    </w:p>
    <w:p w14:paraId="2C4D6AFD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ZJDZ-HGBX101便携式计算机</w:t>
      </w:r>
      <w:r>
        <w:rPr>
          <w:rFonts w:asciiTheme="minorEastAsia" w:hAnsiTheme="minorEastAsia"/>
          <w:sz w:val="24"/>
          <w:szCs w:val="24"/>
        </w:rPr>
        <w:t>机身选用铝合金材质，表面经过精致的拉丝工艺处理，精雕细琢，匠心之作。融入了隐藏式出风口、一体化指纹模组以及屏幕180°开合等设计，外观简洁而时尚。</w:t>
      </w:r>
    </w:p>
    <w:p w14:paraId="310E4201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显示屏采用16：10黄金比例，具有更大纵向可视空间和画面。</w:t>
      </w:r>
    </w:p>
    <w:p w14:paraId="0B06EEE4">
      <w:pPr>
        <w:numPr>
          <w:ilvl w:val="0"/>
          <w:numId w:val="2"/>
        </w:numPr>
        <w:snapToGrid w:val="0"/>
        <w:spacing w:before="156" w:beforeLines="50" w:after="156" w:afterLines="50" w:line="360" w:lineRule="auto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性能强劲，活力十足</w:t>
      </w:r>
    </w:p>
    <w:p w14:paraId="24076218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ZJDZ-HGBX101便携式计算机采用国产海光3</w:t>
      </w:r>
      <w:r>
        <w:rPr>
          <w:rFonts w:asciiTheme="minorEastAsia" w:hAnsiTheme="minorEastAsia"/>
          <w:sz w:val="24"/>
          <w:szCs w:val="24"/>
        </w:rPr>
        <w:t>350</w:t>
      </w:r>
      <w:r>
        <w:rPr>
          <w:rFonts w:hint="eastAsia" w:asciiTheme="minorEastAsia" w:hAnsiTheme="minorEastAsia"/>
          <w:sz w:val="24"/>
          <w:szCs w:val="24"/>
        </w:rPr>
        <w:t>M处理器，集成了</w:t>
      </w:r>
      <w:r>
        <w:rPr>
          <w:rFonts w:asciiTheme="minorEastAsia" w:hAnsiTheme="minorEastAsia"/>
          <w:sz w:val="24"/>
          <w:szCs w:val="24"/>
        </w:rPr>
        <w:t>8</w:t>
      </w:r>
      <w:r>
        <w:rPr>
          <w:rFonts w:hint="eastAsia" w:asciiTheme="minorEastAsia" w:hAnsiTheme="minorEastAsia"/>
          <w:sz w:val="24"/>
          <w:szCs w:val="24"/>
        </w:rPr>
        <w:t>个高性能处理器内核，支持</w:t>
      </w:r>
      <w:r>
        <w:rPr>
          <w:rFonts w:asciiTheme="minorEastAsia" w:hAnsiTheme="minorEastAsia"/>
          <w:sz w:val="24"/>
          <w:szCs w:val="24"/>
        </w:rPr>
        <w:t>X86</w:t>
      </w:r>
      <w:r>
        <w:rPr>
          <w:rFonts w:hint="eastAsia" w:asciiTheme="minorEastAsia" w:hAnsiTheme="minorEastAsia"/>
          <w:sz w:val="24"/>
          <w:szCs w:val="24"/>
        </w:rPr>
        <w:t>指令集，最高主频3</w:t>
      </w:r>
      <w:r>
        <w:rPr>
          <w:rFonts w:asciiTheme="minorEastAsia" w:hAnsiTheme="minorEastAsia"/>
          <w:sz w:val="24"/>
          <w:szCs w:val="24"/>
        </w:rPr>
        <w:t>.0GHz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支持超线程、睿频加速等先进技术</w:t>
      </w:r>
      <w:r>
        <w:rPr>
          <w:rFonts w:hint="eastAsia" w:asciiTheme="minorEastAsia" w:hAnsiTheme="minorEastAsia"/>
          <w:sz w:val="24"/>
          <w:szCs w:val="24"/>
        </w:rPr>
        <w:t>，性能强劲，高速响应各项应用；</w:t>
      </w:r>
      <w:r>
        <w:rPr>
          <w:rFonts w:asciiTheme="minorEastAsia" w:hAnsiTheme="minorEastAsia"/>
          <w:sz w:val="24"/>
          <w:szCs w:val="24"/>
        </w:rPr>
        <w:t>搭载国产独立</w:t>
      </w:r>
      <w:r>
        <w:rPr>
          <w:rFonts w:hint="eastAsia" w:asciiTheme="minorEastAsia" w:hAnsiTheme="minorEastAsia"/>
          <w:sz w:val="24"/>
          <w:szCs w:val="24"/>
        </w:rPr>
        <w:t>显卡</w:t>
      </w:r>
      <w:r>
        <w:rPr>
          <w:rFonts w:asciiTheme="minorEastAsia" w:hAnsiTheme="minorEastAsia"/>
          <w:sz w:val="24"/>
          <w:szCs w:val="24"/>
        </w:rPr>
        <w:t>，支持4K输出、多屏扩展，令每一帧画面都完美呈现</w:t>
      </w:r>
      <w:r>
        <w:rPr>
          <w:rFonts w:hint="eastAsia" w:asciiTheme="minorEastAsia" w:hAnsiTheme="minorEastAsia"/>
          <w:sz w:val="24"/>
          <w:szCs w:val="24"/>
        </w:rPr>
        <w:t>；配置LPDDR内存16GB，</w:t>
      </w:r>
      <w:bookmarkStart w:id="2" w:name="OLE_LINK2"/>
      <w:r>
        <w:rPr>
          <w:rFonts w:hint="eastAsia" w:asciiTheme="minorEastAsia" w:hAnsiTheme="minorEastAsia"/>
          <w:sz w:val="24"/>
          <w:szCs w:val="24"/>
        </w:rPr>
        <w:t>支持单根32GB,最高支持64GB</w:t>
      </w:r>
      <w:bookmarkEnd w:id="2"/>
      <w:r>
        <w:rPr>
          <w:rFonts w:hint="eastAsia" w:asciiTheme="minorEastAsia" w:hAnsiTheme="minorEastAsia"/>
          <w:sz w:val="24"/>
          <w:szCs w:val="24"/>
        </w:rPr>
        <w:t>；配置</w:t>
      </w:r>
      <w:r>
        <w:rPr>
          <w:rFonts w:asciiTheme="minorEastAsia" w:hAnsiTheme="minorEastAsia"/>
          <w:sz w:val="24"/>
          <w:szCs w:val="24"/>
        </w:rPr>
        <w:t>2280 NVME 512GB</w:t>
      </w:r>
      <w:r>
        <w:rPr>
          <w:rFonts w:hint="eastAsia" w:asciiTheme="minorEastAsia" w:hAnsiTheme="minorEastAsia"/>
          <w:sz w:val="24"/>
          <w:szCs w:val="24"/>
        </w:rPr>
        <w:t>（固态硬盘），最高可支持2TB；配置</w:t>
      </w:r>
      <w:r>
        <w:rPr>
          <w:rFonts w:asciiTheme="minorEastAsia" w:hAnsiTheme="minorEastAsia"/>
          <w:sz w:val="24"/>
          <w:szCs w:val="24"/>
        </w:rPr>
        <w:t>Wifi6网卡，疾速响应，高速传输</w:t>
      </w:r>
      <w:r>
        <w:rPr>
          <w:rFonts w:hint="eastAsia" w:asciiTheme="minorEastAsia" w:hAnsiTheme="minorEastAsia"/>
          <w:sz w:val="24"/>
          <w:szCs w:val="24"/>
        </w:rPr>
        <w:t>；在产品散热上创新采用了</w:t>
      </w:r>
      <w:r>
        <w:rPr>
          <w:rFonts w:asciiTheme="minorEastAsia" w:hAnsiTheme="minorEastAsia"/>
          <w:sz w:val="24"/>
          <w:szCs w:val="24"/>
        </w:rPr>
        <w:t>双铜管</w:t>
      </w:r>
      <w:r>
        <w:rPr>
          <w:rFonts w:hint="eastAsia" w:asciiTheme="minorEastAsia" w:hAnsiTheme="minorEastAsia"/>
          <w:sz w:val="24"/>
          <w:szCs w:val="24"/>
        </w:rPr>
        <w:t>双风扇散热技术，使计算机时刻保持低温，同时进行了降噪设计，确保产品可安静陪伴，无噪音困扰，尽情释放活力和灵感。</w:t>
      </w:r>
    </w:p>
    <w:p w14:paraId="4A4AEE36">
      <w:pPr>
        <w:numPr>
          <w:ilvl w:val="0"/>
          <w:numId w:val="2"/>
        </w:numPr>
        <w:snapToGrid w:val="0"/>
        <w:spacing w:before="156" w:beforeLines="50" w:after="156" w:afterLines="50" w:line="360" w:lineRule="auto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接口丰富，扩展灵活</w:t>
      </w:r>
    </w:p>
    <w:p w14:paraId="37A17000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ZJDZ-HGBX101便携式计算机具有丰富的对外接口，配备USB、</w:t>
      </w:r>
      <w:r>
        <w:rPr>
          <w:rFonts w:asciiTheme="minorEastAsia" w:hAnsiTheme="minorEastAsia"/>
          <w:sz w:val="24"/>
          <w:szCs w:val="24"/>
        </w:rPr>
        <w:t>音频</w:t>
      </w:r>
      <w:r>
        <w:rPr>
          <w:rFonts w:hint="eastAsia" w:asciiTheme="minorEastAsia" w:hAnsiTheme="minorEastAsia"/>
          <w:sz w:val="24"/>
          <w:szCs w:val="24"/>
        </w:rPr>
        <w:t>、HDMI、10/100/1000自适应网口、TF卡等</w:t>
      </w:r>
      <w:r>
        <w:rPr>
          <w:rFonts w:asciiTheme="minorEastAsia" w:hAnsiTheme="minorEastAsia"/>
          <w:sz w:val="24"/>
          <w:szCs w:val="24"/>
        </w:rPr>
        <w:t>多种接口</w:t>
      </w:r>
      <w:r>
        <w:rPr>
          <w:rFonts w:hint="eastAsia" w:asciiTheme="minorEastAsia" w:hAnsiTheme="minorEastAsia"/>
          <w:sz w:val="24"/>
          <w:szCs w:val="24"/>
        </w:rPr>
        <w:t>，可以给客户业务扩展提供更加灵活选择。</w:t>
      </w:r>
    </w:p>
    <w:p w14:paraId="4752766F">
      <w:pPr>
        <w:numPr>
          <w:ilvl w:val="0"/>
          <w:numId w:val="2"/>
        </w:numPr>
        <w:snapToGrid w:val="0"/>
        <w:spacing w:before="156" w:beforeLines="50" w:after="156" w:afterLines="50" w:line="360" w:lineRule="auto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充放自如，稳定高效</w:t>
      </w:r>
    </w:p>
    <w:p w14:paraId="41965046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ZJDZ-HGBX101便携式计算机提供带标准Type</w:t>
      </w:r>
      <w:r>
        <w:rPr>
          <w:rFonts w:asciiTheme="minorEastAsia" w:hAnsiTheme="minorEastAsia"/>
          <w:sz w:val="24"/>
          <w:szCs w:val="24"/>
        </w:rPr>
        <w:t>-</w:t>
      </w:r>
      <w:r>
        <w:rPr>
          <w:rFonts w:hint="eastAsia" w:asciiTheme="minorEastAsia" w:hAnsiTheme="minorEastAsia"/>
          <w:sz w:val="24"/>
          <w:szCs w:val="24"/>
        </w:rPr>
        <w:t>C接口的充电器，支持PD快充，并且在关机的情况下，支持对外充电，告别手机、平板等移动设备充电的烦恼，一充多用，轻装出行。</w:t>
      </w:r>
    </w:p>
    <w:p w14:paraId="7330546F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 w14:paraId="3E926000">
      <w:pPr>
        <w:numPr>
          <w:ilvl w:val="0"/>
          <w:numId w:val="2"/>
        </w:numPr>
        <w:snapToGrid w:val="0"/>
        <w:spacing w:before="156" w:beforeLines="50" w:after="156" w:afterLines="50" w:line="360" w:lineRule="auto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安全防护，隐私无忧</w:t>
      </w:r>
    </w:p>
    <w:p w14:paraId="1079C049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配置指纹识别模块、摄像头遮蔽开关、</w:t>
      </w:r>
      <w:r>
        <w:rPr>
          <w:rFonts w:hint="eastAsia" w:asciiTheme="minorEastAsia" w:hAnsiTheme="minorEastAsia"/>
          <w:sz w:val="24"/>
          <w:szCs w:val="24"/>
        </w:rPr>
        <w:t>WIFI</w:t>
      </w:r>
      <w:r>
        <w:rPr>
          <w:rFonts w:asciiTheme="minorEastAsia" w:hAnsiTheme="minorEastAsia"/>
          <w:sz w:val="24"/>
          <w:szCs w:val="24"/>
        </w:rPr>
        <w:t>物理开关，</w:t>
      </w:r>
      <w:r>
        <w:rPr>
          <w:rFonts w:hint="eastAsia" w:asciiTheme="minorEastAsia" w:hAnsiTheme="minorEastAsia"/>
          <w:sz w:val="24"/>
          <w:szCs w:val="24"/>
        </w:rPr>
        <w:t>安全</w:t>
      </w:r>
      <w:r>
        <w:rPr>
          <w:rFonts w:asciiTheme="minorEastAsia" w:hAnsiTheme="minorEastAsia"/>
          <w:sz w:val="24"/>
          <w:szCs w:val="24"/>
        </w:rPr>
        <w:t>掌控随心</w:t>
      </w:r>
      <w:r>
        <w:rPr>
          <w:rFonts w:hint="eastAsia" w:asciiTheme="minorEastAsia" w:hAnsiTheme="minorEastAsia"/>
          <w:sz w:val="24"/>
          <w:szCs w:val="24"/>
        </w:rPr>
        <w:t>所欲，有效防止隐私泄露</w:t>
      </w:r>
      <w:r>
        <w:rPr>
          <w:rFonts w:asciiTheme="minorEastAsia" w:hAnsiTheme="minorEastAsia"/>
          <w:sz w:val="24"/>
          <w:szCs w:val="24"/>
        </w:rPr>
        <w:t>。</w:t>
      </w:r>
    </w:p>
    <w:p w14:paraId="29D273A8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支持硬盘加密、安全启动、可信计算等安全功能，多重防护可有效保障</w:t>
      </w:r>
      <w:r>
        <w:rPr>
          <w:rFonts w:hint="eastAsia" w:asciiTheme="minorEastAsia" w:hAnsiTheme="minorEastAsia"/>
          <w:sz w:val="24"/>
          <w:szCs w:val="24"/>
        </w:rPr>
        <w:t>设备和</w:t>
      </w:r>
      <w:r>
        <w:rPr>
          <w:rFonts w:asciiTheme="minorEastAsia" w:hAnsiTheme="minorEastAsia"/>
          <w:sz w:val="24"/>
          <w:szCs w:val="24"/>
        </w:rPr>
        <w:t>数据安全。</w:t>
      </w:r>
    </w:p>
    <w:p w14:paraId="09ABC448">
      <w:pPr>
        <w:numPr>
          <w:ilvl w:val="0"/>
          <w:numId w:val="2"/>
        </w:numPr>
        <w:snapToGrid w:val="0"/>
        <w:spacing w:before="156" w:beforeLines="50" w:after="156" w:afterLines="50" w:line="300" w:lineRule="auto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多重认证</w:t>
      </w:r>
      <w:r>
        <w:rPr>
          <w:rFonts w:eastAsia="宋体"/>
          <w:b/>
          <w:bCs/>
          <w:sz w:val="28"/>
          <w:szCs w:val="28"/>
        </w:rPr>
        <w:t>，</w:t>
      </w:r>
      <w:r>
        <w:rPr>
          <w:rFonts w:hint="eastAsia" w:eastAsia="宋体"/>
          <w:b/>
          <w:bCs/>
          <w:sz w:val="28"/>
          <w:szCs w:val="28"/>
        </w:rPr>
        <w:t>品质</w:t>
      </w:r>
      <w:r>
        <w:rPr>
          <w:rFonts w:eastAsia="宋体"/>
          <w:b/>
          <w:bCs/>
          <w:sz w:val="28"/>
          <w:szCs w:val="28"/>
        </w:rPr>
        <w:t>卓越</w:t>
      </w:r>
    </w:p>
    <w:p w14:paraId="1D95C63D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ZJDZ-HGBX101便携式计算机通过</w:t>
      </w:r>
      <w:r>
        <w:rPr>
          <w:rFonts w:hint="eastAsia" w:eastAsia="宋体" w:cs="宋体" w:asciiTheme="minorEastAsia" w:hAnsiTheme="minorEastAsia"/>
          <w:color w:val="000000"/>
          <w:kern w:val="0"/>
          <w:sz w:val="28"/>
          <w:szCs w:val="21"/>
        </w:rPr>
        <w:t>3C、节能、能效、RoHS环保、十环、MTBF、SRRC</w:t>
      </w:r>
      <w:r>
        <w:rPr>
          <w:rFonts w:asciiTheme="minorEastAsia" w:hAnsiTheme="minorEastAsia"/>
          <w:sz w:val="24"/>
          <w:szCs w:val="24"/>
        </w:rPr>
        <w:t>等相关</w:t>
      </w:r>
      <w:r>
        <w:rPr>
          <w:rFonts w:hint="eastAsia" w:asciiTheme="minorEastAsia" w:hAnsiTheme="minorEastAsia"/>
          <w:sz w:val="24"/>
          <w:szCs w:val="24"/>
        </w:rPr>
        <w:t>认证</w:t>
      </w:r>
      <w:r>
        <w:rPr>
          <w:rFonts w:asciiTheme="minorEastAsia" w:hAnsiTheme="minorEastAsia"/>
          <w:sz w:val="24"/>
          <w:szCs w:val="24"/>
        </w:rPr>
        <w:t>，保证产品质量。</w:t>
      </w:r>
    </w:p>
    <w:p w14:paraId="15E2E1F6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</w:p>
    <w:p w14:paraId="3C035F01">
      <w:pPr>
        <w:pageBreakBefore/>
        <w:numPr>
          <w:ilvl w:val="0"/>
          <w:numId w:val="1"/>
        </w:numPr>
        <w:spacing w:before="156" w:beforeLines="50" w:line="360" w:lineRule="auto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3" w:name="_Toc171436467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产品规格</w:t>
      </w:r>
      <w:bookmarkEnd w:id="3"/>
    </w:p>
    <w:p w14:paraId="68606B86">
      <w:pPr>
        <w:jc w:val="right"/>
        <w:rPr>
          <w:rFonts w:hint="eastAsia" w:cs="宋体" w:asciiTheme="minorEastAsia" w:hAnsiTheme="minorEastAsia"/>
          <w:sz w:val="18"/>
          <w:szCs w:val="18"/>
        </w:rPr>
      </w:pPr>
      <w:r>
        <w:rPr>
          <w:rFonts w:hint="eastAsia" w:asciiTheme="minorEastAsia" w:hAnsiTheme="minorEastAsia" w:cstheme="majorBidi"/>
          <w:sz w:val="18"/>
          <w:szCs w:val="18"/>
        </w:rPr>
        <w:t xml:space="preserve">表 </w:t>
      </w:r>
      <w:r>
        <w:rPr>
          <w:rFonts w:asciiTheme="minorEastAsia" w:hAnsiTheme="minorEastAsia" w:cstheme="majorBidi"/>
          <w:sz w:val="18"/>
          <w:szCs w:val="18"/>
        </w:rPr>
        <w:fldChar w:fldCharType="begin"/>
      </w:r>
      <w:r>
        <w:rPr>
          <w:rFonts w:asciiTheme="minorEastAsia" w:hAnsiTheme="minorEastAsia" w:cstheme="majorBidi"/>
          <w:sz w:val="18"/>
          <w:szCs w:val="18"/>
        </w:rPr>
        <w:instrText xml:space="preserve"> </w:instrText>
      </w:r>
      <w:r>
        <w:rPr>
          <w:rFonts w:hint="eastAsia" w:asciiTheme="minorEastAsia" w:hAnsiTheme="minorEastAsia" w:cstheme="majorBidi"/>
          <w:sz w:val="18"/>
          <w:szCs w:val="18"/>
        </w:rPr>
        <w:instrText xml:space="preserve">SEQ 表格 \* ARABIC</w:instrText>
      </w:r>
      <w:r>
        <w:rPr>
          <w:rFonts w:asciiTheme="minorEastAsia" w:hAnsiTheme="minorEastAsia" w:cstheme="majorBidi"/>
          <w:sz w:val="18"/>
          <w:szCs w:val="18"/>
        </w:rPr>
        <w:instrText xml:space="preserve"> </w:instrText>
      </w:r>
      <w:r>
        <w:rPr>
          <w:rFonts w:asciiTheme="minorEastAsia" w:hAnsiTheme="minorEastAsia" w:cstheme="majorBidi"/>
          <w:sz w:val="18"/>
          <w:szCs w:val="18"/>
        </w:rPr>
        <w:fldChar w:fldCharType="separate"/>
      </w:r>
      <w:r>
        <w:rPr>
          <w:rFonts w:hint="eastAsia" w:asciiTheme="minorEastAsia" w:hAnsiTheme="minorEastAsia" w:cstheme="majorBidi"/>
          <w:sz w:val="18"/>
          <w:szCs w:val="18"/>
        </w:rPr>
        <w:t>1</w:t>
      </w:r>
      <w:r>
        <w:rPr>
          <w:rFonts w:asciiTheme="minorEastAsia" w:hAnsiTheme="minorEastAsia" w:cstheme="majorBidi"/>
          <w:sz w:val="18"/>
          <w:szCs w:val="18"/>
        </w:rPr>
        <w:fldChar w:fldCharType="end"/>
      </w:r>
      <w:r>
        <w:rPr>
          <w:rFonts w:asciiTheme="minorEastAsia" w:hAnsiTheme="minorEastAsia" w:cstheme="majorBidi"/>
          <w:sz w:val="18"/>
          <w:szCs w:val="18"/>
        </w:rPr>
        <w:t xml:space="preserve"> </w:t>
      </w:r>
      <w:r>
        <w:rPr>
          <w:rFonts w:hint="eastAsia" w:asciiTheme="minorEastAsia" w:hAnsiTheme="minorEastAsia" w:cstheme="majorBidi"/>
          <w:sz w:val="18"/>
          <w:szCs w:val="18"/>
        </w:rPr>
        <w:t>产品技术参数</w:t>
      </w:r>
    </w:p>
    <w:tbl>
      <w:tblPr>
        <w:tblStyle w:val="9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298"/>
        <w:gridCol w:w="5499"/>
      </w:tblGrid>
      <w:tr w14:paraId="48396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shd w:val="clear" w:color="auto" w:fill="auto"/>
            <w:vAlign w:val="center"/>
          </w:tcPr>
          <w:p w14:paraId="5609DC6E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产品型号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35A3F4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ZJDZ-HGBX101</w:t>
            </w:r>
          </w:p>
        </w:tc>
      </w:tr>
      <w:tr w14:paraId="78FE8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5DDF7F8C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基本功能特性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622D05B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CPU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440E78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海光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3350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M，国产C86架构8核处理器，主频2.3GHz，最高可达3.0 GHz</w:t>
            </w:r>
          </w:p>
        </w:tc>
      </w:tr>
      <w:tr w14:paraId="75E66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57D98003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E10DEE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操作系统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844791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搭载国产操作系统</w:t>
            </w:r>
          </w:p>
        </w:tc>
      </w:tr>
      <w:tr w14:paraId="66A54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4505CFD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A0C278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固件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F5478A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国产固件</w:t>
            </w:r>
          </w:p>
        </w:tc>
      </w:tr>
      <w:tr w14:paraId="2CF73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6E2DB41E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A63DFB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硬盘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48AD41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2280 NVME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/>
                <w:sz w:val="24"/>
                <w:szCs w:val="24"/>
              </w:rPr>
              <w:t>512GB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SSD,可扩展为2TB</w:t>
            </w:r>
          </w:p>
        </w:tc>
      </w:tr>
      <w:tr w14:paraId="5AC21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221DB5C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8D2F1B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内存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F90380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16GB LPDDR4板载,支持单根32GB,最大支持扩展至64GB</w:t>
            </w:r>
          </w:p>
        </w:tc>
      </w:tr>
      <w:tr w14:paraId="27E6B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629EEF7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6553C7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EFD565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4GB 独立显卡,LPDDR4，显示位宽64bit</w:t>
            </w:r>
          </w:p>
        </w:tc>
      </w:tr>
      <w:tr w14:paraId="4934E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585DC99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10B2F9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52DCB9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1个GbE有线网卡</w:t>
            </w:r>
          </w:p>
          <w:p w14:paraId="08E80C8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1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WIFI6+BT5.2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二合一无线模块</w:t>
            </w:r>
          </w:p>
        </w:tc>
      </w:tr>
      <w:tr w14:paraId="06D47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CB4D791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扩展接口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10BE81D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光驱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786BB8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DVD+/-RW光驱(外置)</w:t>
            </w:r>
          </w:p>
        </w:tc>
      </w:tr>
      <w:tr w14:paraId="587BD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0FAAD91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BE1663F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11C5F2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个USB3.0接口</w:t>
            </w:r>
          </w:p>
        </w:tc>
      </w:tr>
      <w:tr w14:paraId="30892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3051B83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15FD38A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Type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-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E73EE4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2个Type-C接口（支持PD快充）</w:t>
            </w:r>
          </w:p>
        </w:tc>
      </w:tr>
      <w:tr w14:paraId="7EF8C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19495FB2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EE8F20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网络接口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99AB40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1个RJ-45网口 (无需转接)</w:t>
            </w:r>
          </w:p>
        </w:tc>
      </w:tr>
      <w:tr w14:paraId="463A3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92C23A8">
            <w:pPr>
              <w:widowControl/>
              <w:jc w:val="center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1D60A59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HDMI接口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FBD8F9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1个HDMI接口</w:t>
            </w:r>
          </w:p>
        </w:tc>
      </w:tr>
      <w:tr w14:paraId="37229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439EA74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883773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音频接口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680D2C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1个音频接口</w:t>
            </w:r>
          </w:p>
        </w:tc>
      </w:tr>
      <w:tr w14:paraId="45F73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4420B69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60A7F2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安全接口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BBDA88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摄像头物理开关</w:t>
            </w:r>
          </w:p>
        </w:tc>
      </w:tr>
      <w:tr w14:paraId="5818F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restart"/>
            <w:vAlign w:val="center"/>
          </w:tcPr>
          <w:p w14:paraId="3751F6C9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开关和指示灯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E75610C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1个充电指示灯</w:t>
            </w:r>
          </w:p>
        </w:tc>
      </w:tr>
      <w:tr w14:paraId="63052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0A26CB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0232697A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1个摄像头指示灯</w:t>
            </w:r>
          </w:p>
        </w:tc>
      </w:tr>
      <w:tr w14:paraId="5D248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7A279F4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0F2D6FB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1个电源指示灯</w:t>
            </w:r>
          </w:p>
        </w:tc>
      </w:tr>
      <w:tr w14:paraId="19004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D6715B8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电池续航能力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6B92D0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电池续航时间≥3小时(典型工作状态下）</w:t>
            </w:r>
          </w:p>
        </w:tc>
      </w:tr>
      <w:tr w14:paraId="29E98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3BC4649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电源输入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8532CC5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支持交流电源适配器供电和电池供电两种方式</w:t>
            </w:r>
          </w:p>
        </w:tc>
      </w:tr>
      <w:tr w14:paraId="6EB61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7FA562F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电池额定能量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6D32EC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70Wh</w:t>
            </w:r>
          </w:p>
        </w:tc>
      </w:tr>
      <w:tr w14:paraId="19B2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9CA8F2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机身颜色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AE3A15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深空灰</w:t>
            </w:r>
          </w:p>
        </w:tc>
      </w:tr>
      <w:tr w14:paraId="79124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6A79B53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机身材质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A292F8E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高强度双面铝合金材料</w:t>
            </w:r>
          </w:p>
        </w:tc>
      </w:tr>
      <w:tr w14:paraId="48B41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4D186CC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整机重量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D10CDC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≤1.38kg(含标配电池)</w:t>
            </w:r>
          </w:p>
        </w:tc>
      </w:tr>
      <w:tr w14:paraId="66368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403C558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整机厚度（不含脚垫）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5AAD83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整机外形尺寸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313.6mm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224.0mm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16.3mm</w:t>
            </w:r>
          </w:p>
        </w:tc>
      </w:tr>
      <w:tr w14:paraId="0EBDB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55C0D03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显示屏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76C0D9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屏幕尺寸：14英寸高清防眩光屏幕</w:t>
            </w:r>
          </w:p>
          <w:p w14:paraId="17517FF2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支持分辨率:1920*1200P</w:t>
            </w:r>
          </w:p>
          <w:p w14:paraId="2CA61B9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色准：最大△E≤4</w:t>
            </w:r>
          </w:p>
          <w:p w14:paraId="7B7D3DE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屏幕比例:16:10</w:t>
            </w:r>
          </w:p>
        </w:tc>
      </w:tr>
      <w:tr w14:paraId="77266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1F3AE2E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摄像头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11E6C1D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1个前置摄像头,像素10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万,分辨率720P，支持摄像头滑动开关</w:t>
            </w:r>
          </w:p>
        </w:tc>
      </w:tr>
      <w:tr w14:paraId="3FC41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18092EB0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产品资质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350D9E6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bookmarkStart w:id="4" w:name="OLE_LINK1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3C、节能、能效、</w:t>
            </w:r>
            <w:bookmarkStart w:id="8" w:name="_GoBack"/>
            <w:bookmarkEnd w:id="8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十环、</w:t>
            </w:r>
            <w:bookmarkStart w:id="5" w:name="OLE_LINK3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MTBF</w:t>
            </w:r>
            <w:bookmarkEnd w:id="5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、SRRC</w:t>
            </w:r>
            <w:bookmarkEnd w:id="4"/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认证</w:t>
            </w:r>
          </w:p>
        </w:tc>
      </w:tr>
      <w:tr w14:paraId="3AFDC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618EF30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环境适应性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40EE747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工作温度 5℃~35℃，工作湿度35%~80% RH</w:t>
            </w:r>
          </w:p>
          <w:p w14:paraId="0ACB796B">
            <w:pPr>
              <w:widowControl/>
              <w:jc w:val="left"/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存储温度 -20℃~60℃，存储湿度20%~90% RH</w:t>
            </w:r>
          </w:p>
        </w:tc>
      </w:tr>
    </w:tbl>
    <w:p w14:paraId="3443F594">
      <w:pPr>
        <w:rPr>
          <w:rFonts w:hint="eastAsia" w:ascii="宋体" w:hAnsi="宋体" w:eastAsia="宋体" w:cs="宋体"/>
          <w:szCs w:val="21"/>
        </w:rPr>
      </w:pPr>
    </w:p>
    <w:p w14:paraId="2E31042F">
      <w:pPr>
        <w:pageBreakBefore/>
        <w:numPr>
          <w:ilvl w:val="0"/>
          <w:numId w:val="1"/>
        </w:numPr>
        <w:spacing w:before="156" w:beforeLines="50" w:line="360" w:lineRule="auto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6" w:name="_Toc171436468"/>
      <w:r>
        <w:rPr>
          <w:rFonts w:hint="eastAsia" w:ascii="Times New Roman" w:hAnsi="Times New Roman" w:eastAsia="宋体" w:cs="Times New Roman"/>
          <w:b/>
          <w:sz w:val="30"/>
          <w:szCs w:val="30"/>
        </w:rPr>
        <w:t>面板介绍</w:t>
      </w:r>
      <w:bookmarkEnd w:id="6"/>
    </w:p>
    <w:p w14:paraId="297A5B9D">
      <w:pPr>
        <w:adjustRightInd w:val="0"/>
        <w:snapToGrid w:val="0"/>
        <w:spacing w:line="360" w:lineRule="auto"/>
        <w:jc w:val="left"/>
        <w:rPr>
          <w:b/>
          <w:bCs/>
          <w:szCs w:val="28"/>
        </w:rPr>
      </w:pPr>
      <w:r>
        <w:rPr>
          <w:rFonts w:hint="eastAsia"/>
          <w:b/>
          <w:bCs/>
          <w:sz w:val="28"/>
          <w:szCs w:val="28"/>
        </w:rPr>
        <w:t>A.功能外观图</w:t>
      </w:r>
      <w:r>
        <w:rPr>
          <w:rFonts w:hint="eastAsia" w:eastAsia="宋体"/>
          <w:b/>
          <w:bCs/>
          <w:sz w:val="28"/>
          <w:szCs w:val="28"/>
        </w:rPr>
        <w:t>：</w:t>
      </w:r>
    </w:p>
    <w:p w14:paraId="56195606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drawing>
          <wp:inline distT="0" distB="0" distL="0" distR="0">
            <wp:extent cx="1882140" cy="21837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617" cy="218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02AB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功能外观</w:t>
      </w:r>
      <w:r>
        <w:rPr>
          <w:rFonts w:asciiTheme="minorEastAsia" w:hAnsiTheme="minorEastAsia"/>
          <w:sz w:val="18"/>
          <w:szCs w:val="18"/>
        </w:rPr>
        <w:t>图</w:t>
      </w:r>
    </w:p>
    <w:p w14:paraId="72A10F78">
      <w:pPr>
        <w:jc w:val="center"/>
        <w:rPr>
          <w:rFonts w:hint="eastAsia" w:asciiTheme="minorEastAsia" w:hAnsiTheme="minorEastAsia"/>
          <w:sz w:val="18"/>
          <w:szCs w:val="18"/>
        </w:rPr>
      </w:pPr>
    </w:p>
    <w:p w14:paraId="27DB5506">
      <w:pPr>
        <w:spacing w:line="360" w:lineRule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/>
          <w:b/>
          <w:bCs/>
          <w:sz w:val="28"/>
          <w:szCs w:val="28"/>
        </w:rPr>
        <w:t>B.</w:t>
      </w:r>
      <w:r>
        <w:rPr>
          <w:rFonts w:hint="eastAsia" w:eastAsia="宋体"/>
          <w:b/>
          <w:bCs/>
          <w:sz w:val="28"/>
          <w:szCs w:val="28"/>
        </w:rPr>
        <w:t>对外接口图：</w:t>
      </w:r>
      <w:r>
        <w:rPr>
          <w:rFonts w:hint="eastAsia" w:ascii="宋体" w:hAnsi="宋体" w:eastAsia="宋体" w:cs="宋体"/>
          <w:b/>
          <w:bCs/>
          <w:sz w:val="32"/>
          <w:szCs w:val="21"/>
        </w:rPr>
        <w:t xml:space="preserve">       </w:t>
      </w:r>
    </w:p>
    <w:p w14:paraId="24598659">
      <w:pPr>
        <w:jc w:val="center"/>
        <w:rPr>
          <w:rFonts w:hint="eastAsia" w:asciiTheme="minorEastAsia" w:hAnsiTheme="minorEastAsia"/>
          <w:sz w:val="18"/>
          <w:szCs w:val="18"/>
        </w:rPr>
      </w:pPr>
      <w:r>
        <w:drawing>
          <wp:inline distT="0" distB="0" distL="0" distR="0">
            <wp:extent cx="3347720" cy="3639185"/>
            <wp:effectExtent l="0" t="0" r="5080" b="0"/>
            <wp:docPr id="699692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9234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9862" cy="365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3BC88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4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对外接口</w:t>
      </w:r>
      <w:r>
        <w:rPr>
          <w:rFonts w:asciiTheme="minorEastAsia" w:hAnsiTheme="minorEastAsia"/>
          <w:sz w:val="18"/>
          <w:szCs w:val="18"/>
        </w:rPr>
        <w:t>图</w:t>
      </w:r>
    </w:p>
    <w:p w14:paraId="6DE469B9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</w:p>
    <w:p w14:paraId="6EB8C083">
      <w:pPr>
        <w:pageBreakBefore/>
        <w:numPr>
          <w:ilvl w:val="0"/>
          <w:numId w:val="1"/>
        </w:numPr>
        <w:spacing w:before="156" w:beforeLines="50" w:line="360" w:lineRule="auto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7" w:name="_Toc171436469"/>
      <w:r>
        <w:rPr>
          <w:rFonts w:hint="eastAsia" w:ascii="Times New Roman" w:hAnsi="Times New Roman" w:eastAsia="宋体" w:cs="Times New Roman"/>
          <w:b/>
          <w:sz w:val="30"/>
          <w:szCs w:val="30"/>
        </w:rPr>
        <w:t>典型应用</w:t>
      </w:r>
      <w:bookmarkEnd w:id="7"/>
    </w:p>
    <w:p w14:paraId="40BE476B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中建电子ZJDZ-HGBX101便携式计算机采用国产海光3</w:t>
      </w:r>
      <w:r>
        <w:rPr>
          <w:rFonts w:asciiTheme="minorEastAsia" w:hAnsiTheme="minorEastAsia"/>
          <w:sz w:val="24"/>
          <w:szCs w:val="24"/>
        </w:rPr>
        <w:t>350</w:t>
      </w:r>
      <w:r>
        <w:rPr>
          <w:rFonts w:hint="eastAsia" w:asciiTheme="minorEastAsia" w:hAnsiTheme="minorEastAsia"/>
          <w:sz w:val="24"/>
          <w:szCs w:val="24"/>
        </w:rPr>
        <w:t>M处理器，搭载国产操作系统，可流畅播放1080P、4K高清视频，支持国产主流办公软件、浏览器、杀毒软件、打印机等外设，计算性能强劲，完全满足党政、金融、电信、能源、建筑等领域的办公需求。</w:t>
      </w:r>
    </w:p>
    <w:p w14:paraId="5EC6A804">
      <w:pPr>
        <w:spacing w:before="156" w:beforeLines="50" w:line="360" w:lineRule="auto"/>
        <w:jc w:val="center"/>
        <w:rPr>
          <w:rFonts w:hint="eastAsia" w:ascii="宋体" w:hAnsi="宋体" w:eastAsia="宋体" w:cs="宋体"/>
          <w:spacing w:val="-5"/>
          <w:w w:val="105"/>
          <w:sz w:val="23"/>
          <w:szCs w:val="23"/>
          <w:lang w:bidi="zh-CN"/>
        </w:rPr>
      </w:pPr>
      <w:r>
        <w:rPr>
          <w:rFonts w:ascii="宋体" w:hAnsi="宋体" w:eastAsia="宋体" w:cs="宋体"/>
          <w:spacing w:val="-5"/>
          <w:w w:val="105"/>
          <w:sz w:val="23"/>
          <w:szCs w:val="23"/>
        </w:rPr>
        <w:drawing>
          <wp:inline distT="0" distB="0" distL="114300" distR="114300">
            <wp:extent cx="4602480" cy="2819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145" cy="283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87A9F"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hint="eastAsia" w:asciiTheme="minorEastAsia" w:hAnsiTheme="minorEastAsia"/>
        </w:rPr>
        <w:t>5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典型应用示意</w:t>
      </w:r>
      <w:r>
        <w:rPr>
          <w:rFonts w:asciiTheme="minorEastAsia" w:hAnsiTheme="minorEastAsia"/>
          <w:sz w:val="18"/>
          <w:szCs w:val="18"/>
        </w:rPr>
        <w:t>图</w:t>
      </w:r>
    </w:p>
    <w:p w14:paraId="59F4DF15">
      <w:pPr>
        <w:spacing w:before="156" w:beforeLines="50" w:line="360" w:lineRule="auto"/>
        <w:ind w:firstLine="562" w:firstLineChars="200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应用场景：</w:t>
      </w:r>
    </w:p>
    <w:p w14:paraId="221F00BF">
      <w:pPr>
        <w:snapToGrid w:val="0"/>
        <w:spacing w:line="30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可广泛应用于信息化办公系统、电子公文系统、电子邮件系统、电子文档系统、服务器群组管理等业务应用的用户终端部署、搭建。</w:t>
      </w:r>
    </w:p>
    <w:p w14:paraId="212B624A">
      <w:pPr>
        <w:spacing w:before="156" w:beforeLines="50" w:line="360" w:lineRule="auto"/>
        <w:outlineLvl w:val="0"/>
        <w:rPr>
          <w:rFonts w:hint="eastAsia" w:asciiTheme="minorEastAsia" w:hAnsiTheme="minorEastAsia"/>
          <w:sz w:val="24"/>
          <w:szCs w:val="24"/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56743">
    <w:pPr>
      <w:pStyle w:val="6"/>
      <w:jc w:val="center"/>
    </w:pPr>
  </w:p>
  <w:p w14:paraId="2D97436B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9BD29">
    <w:pPr>
      <w:pStyle w:val="6"/>
      <w:jc w:val="center"/>
    </w:pPr>
  </w:p>
  <w:p w14:paraId="551A87AA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30247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39097215"/>
                          </w:sdtPr>
                          <w:sdtContent>
                            <w:p w14:paraId="4EA0693D">
                              <w:pPr>
                                <w:pStyle w:val="6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7AF237A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939097215"/>
                    </w:sdtPr>
                    <w:sdtContent>
                      <w:p w14:paraId="4EA0693D">
                        <w:pPr>
                          <w:pStyle w:val="6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7AF237AD"/>
                </w:txbxContent>
              </v:textbox>
            </v:shape>
          </w:pict>
        </mc:Fallback>
      </mc:AlternateContent>
    </w:r>
  </w:p>
  <w:p w14:paraId="5F1B4B90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161DE">
    <w:pPr>
      <w:pStyle w:val="7"/>
    </w:pPr>
    <w:r>
      <w:drawing>
        <wp:inline distT="0" distB="0" distL="0" distR="0">
          <wp:extent cx="1345565" cy="165735"/>
          <wp:effectExtent l="0" t="0" r="635" b="0"/>
          <wp:docPr id="1864164707" name="图片 1864164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164707" name="图片 18641647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91" cy="16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汉仪大宋简" w:eastAsia="汉仪大宋简"/>
        <w:sz w:val="48"/>
        <w:szCs w:val="48"/>
      </w:rPr>
      <w:t xml:space="preserve">       </w:t>
    </w:r>
    <w:r>
      <w:rPr>
        <w:rFonts w:hint="eastAsia"/>
      </w:rPr>
      <w:t xml:space="preserve">        </w:t>
    </w:r>
    <w:r>
      <w:t xml:space="preserve">                       </w:t>
    </w:r>
    <w:r>
      <w:rPr>
        <w:rFonts w:hint="eastAsia"/>
      </w:rPr>
      <w:t>值得信赖 可担重任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14528F"/>
    <w:multiLevelType w:val="multilevel"/>
    <w:tmpl w:val="4514528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BE3721"/>
    <w:multiLevelType w:val="multilevel"/>
    <w:tmpl w:val="6ABE372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F"/>
    <w:rsid w:val="00031335"/>
    <w:rsid w:val="00035999"/>
    <w:rsid w:val="000459B0"/>
    <w:rsid w:val="000564E6"/>
    <w:rsid w:val="00067958"/>
    <w:rsid w:val="00076770"/>
    <w:rsid w:val="000842FA"/>
    <w:rsid w:val="00086928"/>
    <w:rsid w:val="000A7C2A"/>
    <w:rsid w:val="000C1A59"/>
    <w:rsid w:val="000C3419"/>
    <w:rsid w:val="000C74B6"/>
    <w:rsid w:val="000D66DF"/>
    <w:rsid w:val="000F5A33"/>
    <w:rsid w:val="00104FF3"/>
    <w:rsid w:val="001051F3"/>
    <w:rsid w:val="001055B8"/>
    <w:rsid w:val="00121CAE"/>
    <w:rsid w:val="001317F2"/>
    <w:rsid w:val="001335B5"/>
    <w:rsid w:val="00157CFC"/>
    <w:rsid w:val="001601FF"/>
    <w:rsid w:val="00160A9B"/>
    <w:rsid w:val="001668C9"/>
    <w:rsid w:val="001806F3"/>
    <w:rsid w:val="001A0DD7"/>
    <w:rsid w:val="001C3CEF"/>
    <w:rsid w:val="001D6DBE"/>
    <w:rsid w:val="001E3800"/>
    <w:rsid w:val="001E6E54"/>
    <w:rsid w:val="001F437C"/>
    <w:rsid w:val="0020011B"/>
    <w:rsid w:val="002028E6"/>
    <w:rsid w:val="00212472"/>
    <w:rsid w:val="0021742C"/>
    <w:rsid w:val="00217A59"/>
    <w:rsid w:val="002218BD"/>
    <w:rsid w:val="002325CD"/>
    <w:rsid w:val="0023765D"/>
    <w:rsid w:val="00250161"/>
    <w:rsid w:val="002555F7"/>
    <w:rsid w:val="00280F23"/>
    <w:rsid w:val="002827D3"/>
    <w:rsid w:val="0029064B"/>
    <w:rsid w:val="002A0028"/>
    <w:rsid w:val="002B15B8"/>
    <w:rsid w:val="002E3712"/>
    <w:rsid w:val="002E6546"/>
    <w:rsid w:val="00305464"/>
    <w:rsid w:val="003110B2"/>
    <w:rsid w:val="00326A44"/>
    <w:rsid w:val="003331DA"/>
    <w:rsid w:val="00364F2C"/>
    <w:rsid w:val="0038035B"/>
    <w:rsid w:val="00381252"/>
    <w:rsid w:val="00382E61"/>
    <w:rsid w:val="003868DB"/>
    <w:rsid w:val="003872C8"/>
    <w:rsid w:val="00391DC4"/>
    <w:rsid w:val="003933A6"/>
    <w:rsid w:val="003B1082"/>
    <w:rsid w:val="003C1076"/>
    <w:rsid w:val="003C306C"/>
    <w:rsid w:val="003D4E0B"/>
    <w:rsid w:val="003E09CD"/>
    <w:rsid w:val="003E480C"/>
    <w:rsid w:val="00401D42"/>
    <w:rsid w:val="00417F4F"/>
    <w:rsid w:val="00420095"/>
    <w:rsid w:val="00421B2E"/>
    <w:rsid w:val="00456F27"/>
    <w:rsid w:val="00457DA6"/>
    <w:rsid w:val="00461C23"/>
    <w:rsid w:val="00484532"/>
    <w:rsid w:val="00490189"/>
    <w:rsid w:val="00497792"/>
    <w:rsid w:val="004B0BFF"/>
    <w:rsid w:val="004B2379"/>
    <w:rsid w:val="004B7CD5"/>
    <w:rsid w:val="004C414A"/>
    <w:rsid w:val="004D7530"/>
    <w:rsid w:val="004E1621"/>
    <w:rsid w:val="004E2A44"/>
    <w:rsid w:val="004F261E"/>
    <w:rsid w:val="004F5E22"/>
    <w:rsid w:val="005232CF"/>
    <w:rsid w:val="0052335B"/>
    <w:rsid w:val="0056056B"/>
    <w:rsid w:val="005A126B"/>
    <w:rsid w:val="005A61E1"/>
    <w:rsid w:val="005B1C2D"/>
    <w:rsid w:val="005B44A6"/>
    <w:rsid w:val="005B5E95"/>
    <w:rsid w:val="005C731E"/>
    <w:rsid w:val="005E3A0D"/>
    <w:rsid w:val="005E6FE2"/>
    <w:rsid w:val="005F0CA4"/>
    <w:rsid w:val="006557A3"/>
    <w:rsid w:val="00660F17"/>
    <w:rsid w:val="0066509B"/>
    <w:rsid w:val="00666EEA"/>
    <w:rsid w:val="00677158"/>
    <w:rsid w:val="006812A8"/>
    <w:rsid w:val="00696283"/>
    <w:rsid w:val="00696C24"/>
    <w:rsid w:val="006C0040"/>
    <w:rsid w:val="006C4B87"/>
    <w:rsid w:val="006D1F66"/>
    <w:rsid w:val="006D4894"/>
    <w:rsid w:val="006D6DDE"/>
    <w:rsid w:val="006E2255"/>
    <w:rsid w:val="006F3BFA"/>
    <w:rsid w:val="006F3E0A"/>
    <w:rsid w:val="0070097E"/>
    <w:rsid w:val="00705402"/>
    <w:rsid w:val="007156F1"/>
    <w:rsid w:val="00732CED"/>
    <w:rsid w:val="0073791F"/>
    <w:rsid w:val="00745AF0"/>
    <w:rsid w:val="00747CDC"/>
    <w:rsid w:val="00765587"/>
    <w:rsid w:val="0076629C"/>
    <w:rsid w:val="00767977"/>
    <w:rsid w:val="0077155B"/>
    <w:rsid w:val="00792DC7"/>
    <w:rsid w:val="007C122E"/>
    <w:rsid w:val="007C5A1B"/>
    <w:rsid w:val="007C6CD9"/>
    <w:rsid w:val="007D04D4"/>
    <w:rsid w:val="007D147E"/>
    <w:rsid w:val="007D262F"/>
    <w:rsid w:val="007F22F8"/>
    <w:rsid w:val="007F3AD5"/>
    <w:rsid w:val="007F7A43"/>
    <w:rsid w:val="00812D2A"/>
    <w:rsid w:val="00817008"/>
    <w:rsid w:val="00833DD0"/>
    <w:rsid w:val="00845C0B"/>
    <w:rsid w:val="00861CF9"/>
    <w:rsid w:val="008706D7"/>
    <w:rsid w:val="008B3786"/>
    <w:rsid w:val="008B7AFB"/>
    <w:rsid w:val="008D24EE"/>
    <w:rsid w:val="008D390B"/>
    <w:rsid w:val="008E58EE"/>
    <w:rsid w:val="008E5F4A"/>
    <w:rsid w:val="00900FBD"/>
    <w:rsid w:val="009078B0"/>
    <w:rsid w:val="00916D38"/>
    <w:rsid w:val="00927263"/>
    <w:rsid w:val="009412B7"/>
    <w:rsid w:val="00947E99"/>
    <w:rsid w:val="00951FE0"/>
    <w:rsid w:val="009554B6"/>
    <w:rsid w:val="00955DD5"/>
    <w:rsid w:val="00960EBC"/>
    <w:rsid w:val="00963581"/>
    <w:rsid w:val="00963C7F"/>
    <w:rsid w:val="00970EAD"/>
    <w:rsid w:val="00985CAC"/>
    <w:rsid w:val="009945F1"/>
    <w:rsid w:val="009B3373"/>
    <w:rsid w:val="009F506D"/>
    <w:rsid w:val="00A016EF"/>
    <w:rsid w:val="00A11A25"/>
    <w:rsid w:val="00A141BD"/>
    <w:rsid w:val="00A4323D"/>
    <w:rsid w:val="00A43D1C"/>
    <w:rsid w:val="00A46747"/>
    <w:rsid w:val="00A52E51"/>
    <w:rsid w:val="00A62144"/>
    <w:rsid w:val="00A75F5A"/>
    <w:rsid w:val="00A770A3"/>
    <w:rsid w:val="00AA2708"/>
    <w:rsid w:val="00AA47B2"/>
    <w:rsid w:val="00AC0243"/>
    <w:rsid w:val="00AD3308"/>
    <w:rsid w:val="00AF065F"/>
    <w:rsid w:val="00AF339C"/>
    <w:rsid w:val="00AF45FD"/>
    <w:rsid w:val="00AF79EE"/>
    <w:rsid w:val="00B119EF"/>
    <w:rsid w:val="00B22A9D"/>
    <w:rsid w:val="00B26BE5"/>
    <w:rsid w:val="00B30DD0"/>
    <w:rsid w:val="00B36593"/>
    <w:rsid w:val="00B50597"/>
    <w:rsid w:val="00B56BB5"/>
    <w:rsid w:val="00B60D97"/>
    <w:rsid w:val="00B64ABA"/>
    <w:rsid w:val="00B66D94"/>
    <w:rsid w:val="00B73D52"/>
    <w:rsid w:val="00B805F0"/>
    <w:rsid w:val="00B91019"/>
    <w:rsid w:val="00B91ED5"/>
    <w:rsid w:val="00B92997"/>
    <w:rsid w:val="00B93D49"/>
    <w:rsid w:val="00BB37AD"/>
    <w:rsid w:val="00BB3C03"/>
    <w:rsid w:val="00BC1C27"/>
    <w:rsid w:val="00BC2B6D"/>
    <w:rsid w:val="00BC3153"/>
    <w:rsid w:val="00BC3FB0"/>
    <w:rsid w:val="00BC6FB8"/>
    <w:rsid w:val="00BD05D4"/>
    <w:rsid w:val="00BD6D7F"/>
    <w:rsid w:val="00BE5D49"/>
    <w:rsid w:val="00C03CBE"/>
    <w:rsid w:val="00C067A7"/>
    <w:rsid w:val="00C2254D"/>
    <w:rsid w:val="00C31BEA"/>
    <w:rsid w:val="00C37A12"/>
    <w:rsid w:val="00C47462"/>
    <w:rsid w:val="00C57E65"/>
    <w:rsid w:val="00C63D32"/>
    <w:rsid w:val="00C64F0B"/>
    <w:rsid w:val="00C9216B"/>
    <w:rsid w:val="00C9257C"/>
    <w:rsid w:val="00CA276D"/>
    <w:rsid w:val="00CA5AED"/>
    <w:rsid w:val="00CB2F38"/>
    <w:rsid w:val="00CD04E9"/>
    <w:rsid w:val="00CF414E"/>
    <w:rsid w:val="00D024CE"/>
    <w:rsid w:val="00D1001E"/>
    <w:rsid w:val="00D10460"/>
    <w:rsid w:val="00D12986"/>
    <w:rsid w:val="00D3196D"/>
    <w:rsid w:val="00D31AFF"/>
    <w:rsid w:val="00D3283F"/>
    <w:rsid w:val="00D330F1"/>
    <w:rsid w:val="00D504F3"/>
    <w:rsid w:val="00D6186C"/>
    <w:rsid w:val="00D729A7"/>
    <w:rsid w:val="00D955DB"/>
    <w:rsid w:val="00DC12E3"/>
    <w:rsid w:val="00DD308E"/>
    <w:rsid w:val="00E03E85"/>
    <w:rsid w:val="00E14FC3"/>
    <w:rsid w:val="00E216F6"/>
    <w:rsid w:val="00E36082"/>
    <w:rsid w:val="00E5534A"/>
    <w:rsid w:val="00E73EAF"/>
    <w:rsid w:val="00E86EC7"/>
    <w:rsid w:val="00E91794"/>
    <w:rsid w:val="00E92B6B"/>
    <w:rsid w:val="00EA5346"/>
    <w:rsid w:val="00EA7CF7"/>
    <w:rsid w:val="00EC1986"/>
    <w:rsid w:val="00EC288C"/>
    <w:rsid w:val="00ED2C2E"/>
    <w:rsid w:val="00EE69F1"/>
    <w:rsid w:val="00EF2E5C"/>
    <w:rsid w:val="00EF6BE4"/>
    <w:rsid w:val="00EF73C7"/>
    <w:rsid w:val="00F06240"/>
    <w:rsid w:val="00F17CF7"/>
    <w:rsid w:val="00F53E01"/>
    <w:rsid w:val="00F6060D"/>
    <w:rsid w:val="00F67C5F"/>
    <w:rsid w:val="00F708AA"/>
    <w:rsid w:val="00F724B8"/>
    <w:rsid w:val="00F732E5"/>
    <w:rsid w:val="00F85EFD"/>
    <w:rsid w:val="00F860EC"/>
    <w:rsid w:val="00F87B02"/>
    <w:rsid w:val="00F93EE7"/>
    <w:rsid w:val="00F948D9"/>
    <w:rsid w:val="00FA585D"/>
    <w:rsid w:val="00FE0BC8"/>
    <w:rsid w:val="00FE3735"/>
    <w:rsid w:val="00FF1216"/>
    <w:rsid w:val="00FF2814"/>
    <w:rsid w:val="03BC6149"/>
    <w:rsid w:val="0A9A215F"/>
    <w:rsid w:val="0F8E27A9"/>
    <w:rsid w:val="13E720E6"/>
    <w:rsid w:val="1FD34065"/>
    <w:rsid w:val="23734518"/>
    <w:rsid w:val="2719740D"/>
    <w:rsid w:val="2952367D"/>
    <w:rsid w:val="296B35BA"/>
    <w:rsid w:val="2C457749"/>
    <w:rsid w:val="2D9654AD"/>
    <w:rsid w:val="2EDA36D3"/>
    <w:rsid w:val="3550139D"/>
    <w:rsid w:val="383275E2"/>
    <w:rsid w:val="42E97D86"/>
    <w:rsid w:val="45B37F38"/>
    <w:rsid w:val="51DB2EB0"/>
    <w:rsid w:val="58BC5920"/>
    <w:rsid w:val="5A973BCA"/>
    <w:rsid w:val="5EBF3B4B"/>
    <w:rsid w:val="61645F02"/>
    <w:rsid w:val="64241A13"/>
    <w:rsid w:val="67414E9A"/>
    <w:rsid w:val="695B7E26"/>
    <w:rsid w:val="6ACC28BF"/>
    <w:rsid w:val="6AFF7DF0"/>
    <w:rsid w:val="6E2C5E87"/>
    <w:rsid w:val="6F9E5B19"/>
    <w:rsid w:val="7727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4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正文文本 字符"/>
    <w:basedOn w:val="11"/>
    <w:link w:val="5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页眉 字符"/>
    <w:basedOn w:val="11"/>
    <w:link w:val="7"/>
    <w:qFormat/>
    <w:uiPriority w:val="99"/>
    <w:rPr>
      <w:sz w:val="18"/>
      <w:szCs w:val="18"/>
    </w:rPr>
  </w:style>
  <w:style w:type="paragraph" w:styleId="17">
    <w:name w:val="List Paragraph"/>
    <w:basedOn w:val="1"/>
    <w:link w:val="19"/>
    <w:qFormat/>
    <w:uiPriority w:val="34"/>
    <w:pPr>
      <w:ind w:firstLine="420" w:firstLineChars="200"/>
    </w:p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9">
    <w:name w:val="列表段落 字符"/>
    <w:link w:val="17"/>
    <w:qFormat/>
    <w:uiPriority w:val="34"/>
  </w:style>
  <w:style w:type="paragraph" w:customStyle="1" w:styleId="20">
    <w:name w:val="列出段落1"/>
    <w:basedOn w:val="1"/>
    <w:qFormat/>
    <w:uiPriority w:val="34"/>
    <w:pPr>
      <w:snapToGrid w:val="0"/>
      <w:spacing w:line="300" w:lineRule="auto"/>
      <w:ind w:firstLine="420" w:firstLineChars="200"/>
    </w:pPr>
    <w:rPr>
      <w:rFonts w:eastAsia="宋体"/>
      <w:sz w:val="28"/>
    </w:rPr>
  </w:style>
  <w:style w:type="character" w:customStyle="1" w:styleId="21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table" w:customStyle="1" w:styleId="22">
    <w:name w:val="Grid Table 4 Accent 1"/>
    <w:basedOn w:val="9"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3">
    <w:name w:val="List Table 4 Accent 1"/>
    <w:basedOn w:val="9"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sv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sv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zjdz</Company>
  <Pages>8</Pages>
  <Words>1041</Words>
  <Characters>1258</Characters>
  <Lines>19</Lines>
  <Paragraphs>5</Paragraphs>
  <TotalTime>347</TotalTime>
  <ScaleCrop>false</ScaleCrop>
  <LinksUpToDate>false</LinksUpToDate>
  <CharactersWithSpaces>1295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2024-03-17T07:04:00Z</dcterms:created>
  <dc:creator>dpf</dc:creator>
  <cp:lastModifiedBy>卡卡鸭</cp:lastModifiedBy>
  <cp:lastPrinted>2025-03-17T06:10:00Z</cp:lastPrinted>
  <dcterms:modified xsi:type="dcterms:W3CDTF">2025-03-24T02:50:52Z</dcterms:modified>
  <cp:revision>158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9BBC565CF2E249858B4077BA9DCAC9E2_12</vt:lpwstr>
  </property>
</Properties>
</file>