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media/image6.svg" ContentType="image/svg+xml"/>
  <Override PartName="/word/media/image9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9F7B17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hint="eastAsia" w:ascii="Times New Roman" w:hAnsi="Times New Roman" w:eastAsia="宋体" w:cs="Times New Roman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22860</wp:posOffset>
            </wp:positionV>
            <wp:extent cx="5273040" cy="732853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28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F789A2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3A455BDC">
      <w:pPr>
        <w:spacing w:before="156" w:beforeLines="50"/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中建电子CSCECIT信创便携式计算机</w:t>
      </w:r>
    </w:p>
    <w:p w14:paraId="1367E804">
      <w:pPr>
        <w:spacing w:before="156" w:beforeLines="50"/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ZJDZ</w:t>
      </w:r>
      <w:r>
        <w:rPr>
          <w:rFonts w:ascii="黑体" w:hAnsi="黑体" w:eastAsia="黑体" w:cs="黑体"/>
          <w:sz w:val="44"/>
          <w:szCs w:val="44"/>
        </w:rPr>
        <w:t>-FTBX101</w:t>
      </w:r>
    </w:p>
    <w:p w14:paraId="143CA4F7">
      <w:pPr>
        <w:spacing w:before="156" w:beforeLines="50"/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产品白皮书</w:t>
      </w:r>
    </w:p>
    <w:p w14:paraId="75916474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65C7B657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39AB1FB7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74EC8FD6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565BC074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3F9F3C7D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07434CED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051708B4">
      <w:pPr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14:paraId="5CC6AF05">
      <w:pPr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14:paraId="0C60B64F">
      <w:pPr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14:paraId="01B501C8">
      <w:pPr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14:paraId="042C4F1A">
      <w:pPr>
        <w:widowControl/>
        <w:jc w:val="center"/>
        <w:rPr>
          <w:rFonts w:ascii="Times New Roman" w:hAnsi="Times New Roman" w:cs="Times New Roman"/>
          <w:szCs w:val="28"/>
        </w:rPr>
      </w:pPr>
    </w:p>
    <w:p w14:paraId="16F85AFC">
      <w:pPr>
        <w:widowControl/>
        <w:jc w:val="center"/>
      </w:pPr>
      <w:r>
        <w:rPr>
          <w:rFonts w:hint="eastAsia" w:ascii="宋体" w:hAnsi="宋体" w:eastAsia="宋体" w:cs="宋体"/>
          <w:sz w:val="28"/>
          <w:szCs w:val="28"/>
        </w:rPr>
        <w:t>中建电子信息技术有限公司</w:t>
      </w:r>
    </w:p>
    <w:p w14:paraId="50C73636">
      <w:pPr>
        <w:widowControl/>
        <w:jc w:val="center"/>
        <w:rPr>
          <w:rFonts w:hint="eastAsia" w:ascii="宋体" w:hAnsi="宋体" w:cs="宋体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2024年</w:t>
      </w:r>
      <w:r>
        <w:rPr>
          <w:rFonts w:ascii="宋体" w:hAnsi="宋体" w:eastAsia="宋体" w:cs="宋体"/>
          <w:sz w:val="28"/>
          <w:szCs w:val="28"/>
        </w:rPr>
        <w:t>7</w:t>
      </w:r>
      <w:r>
        <w:rPr>
          <w:rFonts w:hint="eastAsia" w:ascii="宋体" w:hAnsi="宋体" w:eastAsia="宋体" w:cs="宋体"/>
          <w:sz w:val="28"/>
          <w:szCs w:val="28"/>
        </w:rPr>
        <w:t>月</w:t>
      </w:r>
    </w:p>
    <w:p w14:paraId="036B684F">
      <w:p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Times New Roman" w:hAnsi="Times New Roman" w:eastAsia="宋体" w:cs="Times New Roman"/>
          <w:b/>
          <w:bCs/>
          <w:sz w:val="24"/>
          <w:szCs w:val="24"/>
          <w:lang w:val="zh-CN"/>
        </w:rPr>
        <w:id w:val="940881570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 w:val="0"/>
          <w:bCs w:val="0"/>
          <w:sz w:val="28"/>
          <w:szCs w:val="28"/>
          <w:lang w:val="zh-CN"/>
        </w:rPr>
      </w:sdtEndPr>
      <w:sdtContent>
        <w:p w14:paraId="555FFD57">
          <w:pPr>
            <w:spacing w:line="480" w:lineRule="auto"/>
            <w:jc w:val="center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t>目录</w:t>
          </w:r>
        </w:p>
        <w:p w14:paraId="6778B586">
          <w:pPr>
            <w:pStyle w:val="8"/>
            <w:tabs>
              <w:tab w:val="left" w:pos="660"/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TOC \o "1-3" \h \z \u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"_Toc161850692" </w:instrText>
          </w:r>
          <w:r>
            <w:fldChar w:fldCharType="separate"/>
          </w:r>
          <w:r>
            <w:rPr>
              <w:rStyle w:val="12"/>
              <w:rFonts w:ascii="Times New Roman" w:hAnsi="Times New Roman" w:eastAsia="宋体" w:cs="Times New Roman"/>
              <w:b/>
            </w:rPr>
            <w:t>1、</w:t>
          </w:r>
          <w:r>
            <w:rPr>
              <w:sz w:val="22"/>
              <w:szCs w:val="24"/>
              <w14:ligatures w14:val="standardContextual"/>
            </w:rPr>
            <w:tab/>
          </w:r>
          <w:r>
            <w:rPr>
              <w:rStyle w:val="12"/>
              <w:rFonts w:ascii="Times New Roman" w:hAnsi="Times New Roman" w:eastAsia="宋体" w:cs="Times New Roman"/>
              <w:b/>
            </w:rPr>
            <w:t>产品概述</w:t>
          </w:r>
          <w:r>
            <w:tab/>
          </w:r>
          <w:r>
            <w:fldChar w:fldCharType="begin"/>
          </w:r>
          <w:r>
            <w:instrText xml:space="preserve"> PAGEREF _Toc161850692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1CD8CA1F">
          <w:pPr>
            <w:pStyle w:val="8"/>
            <w:tabs>
              <w:tab w:val="left" w:pos="660"/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"_Toc161850693" </w:instrText>
          </w:r>
          <w:r>
            <w:fldChar w:fldCharType="separate"/>
          </w:r>
          <w:r>
            <w:rPr>
              <w:rStyle w:val="12"/>
              <w:rFonts w:ascii="Times New Roman" w:hAnsi="Times New Roman" w:eastAsia="宋体" w:cs="Times New Roman"/>
              <w:b/>
            </w:rPr>
            <w:t>2、</w:t>
          </w:r>
          <w:r>
            <w:rPr>
              <w:sz w:val="22"/>
              <w:szCs w:val="24"/>
              <w14:ligatures w14:val="standardContextual"/>
            </w:rPr>
            <w:tab/>
          </w:r>
          <w:r>
            <w:rPr>
              <w:rStyle w:val="12"/>
              <w:rFonts w:ascii="Times New Roman" w:hAnsi="Times New Roman" w:eastAsia="宋体" w:cs="Times New Roman"/>
              <w:b/>
            </w:rPr>
            <w:t>产品特性</w:t>
          </w:r>
          <w:r>
            <w:tab/>
          </w:r>
          <w:r>
            <w:fldChar w:fldCharType="begin"/>
          </w:r>
          <w:r>
            <w:instrText xml:space="preserve"> PAGEREF _Toc161850693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43CEC514">
          <w:pPr>
            <w:pStyle w:val="8"/>
            <w:tabs>
              <w:tab w:val="left" w:pos="660"/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"_Toc161850694" </w:instrText>
          </w:r>
          <w:r>
            <w:fldChar w:fldCharType="separate"/>
          </w:r>
          <w:r>
            <w:rPr>
              <w:rStyle w:val="12"/>
              <w:rFonts w:ascii="Times New Roman" w:hAnsi="Times New Roman" w:eastAsia="宋体" w:cs="Times New Roman"/>
              <w:b/>
            </w:rPr>
            <w:t>3、</w:t>
          </w:r>
          <w:r>
            <w:rPr>
              <w:sz w:val="22"/>
              <w:szCs w:val="24"/>
              <w14:ligatures w14:val="standardContextual"/>
            </w:rPr>
            <w:tab/>
          </w:r>
          <w:r>
            <w:rPr>
              <w:rStyle w:val="12"/>
              <w:rFonts w:ascii="Times New Roman" w:hAnsi="Times New Roman" w:eastAsia="宋体" w:cs="Times New Roman"/>
              <w:b/>
            </w:rPr>
            <w:t>产品规格</w:t>
          </w:r>
          <w:r>
            <w:tab/>
          </w:r>
          <w:r>
            <w:fldChar w:fldCharType="begin"/>
          </w:r>
          <w:r>
            <w:instrText xml:space="preserve"> PAGEREF _Toc161850694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6E6B647C">
          <w:pPr>
            <w:pStyle w:val="8"/>
            <w:tabs>
              <w:tab w:val="left" w:pos="660"/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"_Toc161850695" </w:instrText>
          </w:r>
          <w:r>
            <w:fldChar w:fldCharType="separate"/>
          </w:r>
          <w:r>
            <w:rPr>
              <w:rStyle w:val="12"/>
              <w:rFonts w:ascii="Times New Roman" w:hAnsi="Times New Roman" w:eastAsia="宋体" w:cs="Times New Roman"/>
              <w:b/>
            </w:rPr>
            <w:t>4、</w:t>
          </w:r>
          <w:r>
            <w:rPr>
              <w:sz w:val="22"/>
              <w:szCs w:val="24"/>
              <w14:ligatures w14:val="standardContextual"/>
            </w:rPr>
            <w:tab/>
          </w:r>
          <w:r>
            <w:rPr>
              <w:rStyle w:val="12"/>
              <w:rFonts w:ascii="Times New Roman" w:hAnsi="Times New Roman" w:eastAsia="宋体" w:cs="Times New Roman"/>
              <w:b/>
            </w:rPr>
            <w:t>面板介绍</w:t>
          </w:r>
          <w:r>
            <w:tab/>
          </w:r>
          <w:r>
            <w:fldChar w:fldCharType="begin"/>
          </w:r>
          <w:r>
            <w:instrText xml:space="preserve"> PAGEREF _Toc161850695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28FAC92E">
          <w:pPr>
            <w:pStyle w:val="8"/>
            <w:tabs>
              <w:tab w:val="left" w:pos="660"/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"_Toc161850696" </w:instrText>
          </w:r>
          <w:r>
            <w:fldChar w:fldCharType="separate"/>
          </w:r>
          <w:r>
            <w:rPr>
              <w:rStyle w:val="12"/>
              <w:rFonts w:ascii="Times New Roman" w:hAnsi="Times New Roman" w:eastAsia="宋体" w:cs="Times New Roman"/>
              <w:b/>
            </w:rPr>
            <w:t>5、</w:t>
          </w:r>
          <w:r>
            <w:rPr>
              <w:sz w:val="22"/>
              <w:szCs w:val="24"/>
              <w14:ligatures w14:val="standardContextual"/>
            </w:rPr>
            <w:tab/>
          </w:r>
          <w:r>
            <w:rPr>
              <w:rStyle w:val="12"/>
              <w:rFonts w:ascii="Times New Roman" w:hAnsi="Times New Roman" w:eastAsia="宋体" w:cs="Times New Roman"/>
              <w:b/>
            </w:rPr>
            <w:t>典型应用</w:t>
          </w:r>
          <w:r>
            <w:tab/>
          </w:r>
          <w:r>
            <w:fldChar w:fldCharType="begin"/>
          </w:r>
          <w:r>
            <w:instrText xml:space="preserve"> PAGEREF _Toc161850696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6B3020AE">
          <w:pPr>
            <w:snapToGrid w:val="0"/>
            <w:spacing w:line="480" w:lineRule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  <w:lang w:val="zh-CN"/>
            </w:rPr>
            <w:fldChar w:fldCharType="end"/>
          </w:r>
        </w:p>
      </w:sdtContent>
    </w:sdt>
    <w:p w14:paraId="10759021">
      <w:pPr>
        <w:pStyle w:val="17"/>
        <w:pageBreakBefore/>
        <w:numPr>
          <w:ilvl w:val="0"/>
          <w:numId w:val="1"/>
        </w:numPr>
        <w:snapToGrid w:val="0"/>
        <w:spacing w:before="156" w:beforeLines="50" w:line="360" w:lineRule="auto"/>
        <w:ind w:firstLineChars="0"/>
        <w:outlineLvl w:val="0"/>
        <w:rPr>
          <w:rFonts w:hint="eastAsia" w:ascii="宋体" w:hAnsi="宋体" w:eastAsia="宋体" w:cs="宋体"/>
          <w:sz w:val="28"/>
          <w:szCs w:val="28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 w14:paraId="550B40F2">
      <w:pPr>
        <w:pStyle w:val="17"/>
        <w:numPr>
          <w:ilvl w:val="0"/>
          <w:numId w:val="1"/>
        </w:numPr>
        <w:spacing w:before="156" w:beforeLines="50" w:line="360" w:lineRule="auto"/>
        <w:ind w:firstLineChars="0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0" w:name="_Toc161850692"/>
      <w:r>
        <w:rPr>
          <w:rFonts w:hint="eastAsia" w:ascii="Times New Roman" w:hAnsi="Times New Roman" w:eastAsia="宋体" w:cs="Times New Roman"/>
          <w:b/>
          <w:sz w:val="30"/>
          <w:szCs w:val="30"/>
        </w:rPr>
        <w:t>产品概述</w:t>
      </w:r>
      <w:bookmarkEnd w:id="0"/>
    </w:p>
    <w:p w14:paraId="2BC759C9">
      <w:pPr>
        <w:pStyle w:val="20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中建电子CSCECIT信创便携式计算机ZJDZ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FTBX101</w:t>
      </w:r>
      <w:r>
        <w:rPr>
          <w:rFonts w:asciiTheme="minorEastAsia" w:hAnsiTheme="minorEastAsia" w:eastAsiaTheme="minorEastAsia"/>
          <w:sz w:val="24"/>
          <w:szCs w:val="24"/>
        </w:rPr>
        <w:t>，是基于</w:t>
      </w:r>
      <w:r>
        <w:rPr>
          <w:rFonts w:hint="eastAsia" w:asciiTheme="minorEastAsia" w:hAnsiTheme="minorEastAsia" w:eastAsiaTheme="minorEastAsia"/>
          <w:sz w:val="24"/>
          <w:szCs w:val="24"/>
        </w:rPr>
        <w:t>国产飞腾D2000处理器</w:t>
      </w:r>
      <w:r>
        <w:rPr>
          <w:rFonts w:asciiTheme="minorEastAsia" w:hAnsiTheme="minorEastAsia" w:eastAsiaTheme="minorEastAsia"/>
          <w:sz w:val="24"/>
          <w:szCs w:val="24"/>
        </w:rPr>
        <w:t>研制，</w:t>
      </w:r>
      <w:r>
        <w:rPr>
          <w:rFonts w:hint="eastAsia" w:asciiTheme="minorEastAsia" w:hAnsiTheme="minorEastAsia" w:eastAsiaTheme="minorEastAsia"/>
          <w:sz w:val="24"/>
          <w:szCs w:val="24"/>
        </w:rPr>
        <w:t>搭载国产操作系统，采用铝合金外观设计，搭配14英寸高清窄边框广视角显示屏，内置大容量电池，支持快充、反向充电，轻松适应各种办公环境。</w:t>
      </w:r>
    </w:p>
    <w:p w14:paraId="19CC2DA4">
      <w:pPr>
        <w:pStyle w:val="20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本</w:t>
      </w:r>
      <w:r>
        <w:rPr>
          <w:rFonts w:asciiTheme="minorEastAsia" w:hAnsiTheme="minorEastAsia" w:eastAsiaTheme="minorEastAsia"/>
          <w:sz w:val="24"/>
          <w:szCs w:val="24"/>
        </w:rPr>
        <w:t>产品严格遵循国家相关标准要求，具有性能强劲、应用流畅</w:t>
      </w:r>
      <w:r>
        <w:rPr>
          <w:rFonts w:hint="eastAsia" w:asciiTheme="minorEastAsia" w:hAnsiTheme="minorEastAsia" w:eastAsiaTheme="minorEastAsia"/>
          <w:sz w:val="24"/>
          <w:szCs w:val="24"/>
        </w:rPr>
        <w:t>、</w:t>
      </w:r>
      <w:r>
        <w:rPr>
          <w:rFonts w:asciiTheme="minorEastAsia" w:hAnsiTheme="minorEastAsia" w:eastAsiaTheme="minorEastAsia"/>
          <w:sz w:val="24"/>
          <w:szCs w:val="24"/>
        </w:rPr>
        <w:t>体积</w:t>
      </w:r>
      <w:r>
        <w:rPr>
          <w:rFonts w:hint="eastAsia" w:asciiTheme="minorEastAsia" w:hAnsiTheme="minorEastAsia" w:eastAsiaTheme="minorEastAsia"/>
          <w:sz w:val="24"/>
          <w:szCs w:val="24"/>
        </w:rPr>
        <w:t>小巧</w:t>
      </w:r>
      <w:r>
        <w:rPr>
          <w:rFonts w:asciiTheme="minorEastAsia" w:hAnsiTheme="minorEastAsia" w:eastAsiaTheme="minorEastAsia"/>
          <w:sz w:val="24"/>
          <w:szCs w:val="24"/>
        </w:rPr>
        <w:t>等</w:t>
      </w:r>
      <w:r>
        <w:rPr>
          <w:rFonts w:hint="eastAsia" w:asciiTheme="minorEastAsia" w:hAnsiTheme="minorEastAsia" w:eastAsiaTheme="minorEastAsia"/>
          <w:sz w:val="24"/>
          <w:szCs w:val="24"/>
        </w:rPr>
        <w:t>特点，可广泛应用于党政、金融、电信、能源、建筑等行业和领域办公环境。</w:t>
      </w:r>
    </w:p>
    <w:p w14:paraId="48FFBA34">
      <w:pPr>
        <w:spacing w:line="360" w:lineRule="auto"/>
        <w:jc w:val="center"/>
        <w:rPr>
          <w:rFonts w:hint="eastAsia"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</w:rPr>
        <w:drawing>
          <wp:inline distT="0" distB="0" distL="0" distR="0">
            <wp:extent cx="2736850" cy="2161540"/>
            <wp:effectExtent l="0" t="0" r="6350" b="0"/>
            <wp:docPr id="1" name="图片 1" descr="D:\适配验证处\笔记本\232笔记本\笔记本设计资料\说明书 配图\B52-FJ4 黑色 20230620.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适配验证处\笔记本\232笔记本\笔记本设计资料\说明书 配图\B52-FJ4 黑色 20230620.15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1" r="6177"/>
                    <a:stretch>
                      <a:fillRect/>
                    </a:stretch>
                  </pic:blipFill>
                  <pic:spPr>
                    <a:xfrm>
                      <a:off x="0" y="0"/>
                      <a:ext cx="2750642" cy="217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73DA0">
      <w:pPr>
        <w:pStyle w:val="4"/>
        <w:jc w:val="center"/>
        <w:rPr>
          <w:rFonts w:hint="eastAsia"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图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图表 \* ARABIC</w:instrText>
      </w:r>
      <w:r>
        <w:instrText xml:space="preserve"> </w:instrText>
      </w:r>
      <w:r>
        <w:fldChar w:fldCharType="separate"/>
      </w:r>
      <w:r>
        <w:t>1</w:t>
      </w:r>
      <w:r>
        <w:fldChar w:fldCharType="end"/>
      </w:r>
      <w:r>
        <w:t xml:space="preserve"> </w:t>
      </w:r>
      <w:r>
        <w:rPr>
          <w:rFonts w:hint="eastAsia" w:ascii="宋体" w:hAnsi="宋体" w:eastAsia="宋体"/>
          <w:sz w:val="18"/>
          <w:szCs w:val="18"/>
        </w:rPr>
        <w:t>产品外观图</w:t>
      </w:r>
    </w:p>
    <w:p w14:paraId="6623E9B5">
      <w:pPr>
        <w:pStyle w:val="20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本产品的逻辑架构图：</w:t>
      </w:r>
    </w:p>
    <w:p w14:paraId="0AC9A2A5">
      <w:pPr>
        <w:jc w:val="center"/>
      </w:pPr>
      <w:r>
        <w:drawing>
          <wp:inline distT="0" distB="0" distL="0" distR="0">
            <wp:extent cx="3870960" cy="3015615"/>
            <wp:effectExtent l="0" t="0" r="2540" b="0"/>
            <wp:docPr id="5868237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82374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8958" cy="303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137E7">
      <w:pPr>
        <w:jc w:val="center"/>
        <w:rPr>
          <w:rFonts w:hint="eastAsia"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图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SEQ 图表 \* ARABIC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hint="eastAsia" w:asciiTheme="minorEastAsia" w:hAnsiTheme="minorEastAsia"/>
        </w:rPr>
        <w:t>2</w:t>
      </w:r>
      <w:r>
        <w:rPr>
          <w:rFonts w:asciiTheme="minorEastAsia" w:hAnsiTheme="minorEastAsia"/>
        </w:rPr>
        <w:fldChar w:fldCharType="end"/>
      </w:r>
      <w:r>
        <w:rPr>
          <w:rFonts w:asciiTheme="minorEastAsia" w:hAnsiTheme="minorEastAsia"/>
        </w:rPr>
        <w:t xml:space="preserve"> </w:t>
      </w:r>
      <w:r>
        <w:rPr>
          <w:rFonts w:asciiTheme="minorEastAsia" w:hAnsiTheme="minorEastAsia"/>
          <w:sz w:val="18"/>
          <w:szCs w:val="18"/>
        </w:rPr>
        <w:t>逻辑架构图</w:t>
      </w:r>
    </w:p>
    <w:p w14:paraId="300EF72F">
      <w:pPr>
        <w:widowControl/>
        <w:jc w:val="left"/>
        <w:rPr>
          <w:rFonts w:hint="eastAsia" w:asciiTheme="minorEastAsia" w:hAnsiTheme="minorEastAsia"/>
          <w:sz w:val="18"/>
          <w:szCs w:val="18"/>
        </w:rPr>
      </w:pPr>
      <w:r>
        <w:rPr>
          <w:rFonts w:asciiTheme="minorEastAsia" w:hAnsiTheme="minorEastAsia"/>
          <w:sz w:val="18"/>
          <w:szCs w:val="18"/>
        </w:rPr>
        <w:br w:type="page"/>
      </w:r>
    </w:p>
    <w:p w14:paraId="367AA050">
      <w:pPr>
        <w:pStyle w:val="17"/>
        <w:numPr>
          <w:ilvl w:val="0"/>
          <w:numId w:val="1"/>
        </w:numPr>
        <w:spacing w:before="156" w:beforeLines="50" w:line="360" w:lineRule="auto"/>
        <w:ind w:firstLineChars="0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1" w:name="_Toc161850693"/>
      <w:r>
        <w:rPr>
          <w:rFonts w:hint="eastAsia" w:ascii="Times New Roman" w:hAnsi="Times New Roman" w:eastAsia="宋体" w:cs="Times New Roman"/>
          <w:b/>
          <w:sz w:val="30"/>
          <w:szCs w:val="30"/>
        </w:rPr>
        <w:t>产品特性</w:t>
      </w:r>
      <w:bookmarkEnd w:id="1"/>
    </w:p>
    <w:p w14:paraId="77927521">
      <w:pPr>
        <w:pStyle w:val="20"/>
        <w:numPr>
          <w:ilvl w:val="0"/>
          <w:numId w:val="2"/>
        </w:numPr>
        <w:spacing w:before="156" w:beforeLines="50" w:after="156" w:afterLines="50" w:line="360" w:lineRule="auto"/>
        <w:ind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完全国产，自主可控</w:t>
      </w:r>
    </w:p>
    <w:p w14:paraId="33A5B80C">
      <w:pPr>
        <w:pStyle w:val="20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FTBX101便携式计算机搭载</w:t>
      </w:r>
      <w:r>
        <w:rPr>
          <w:rFonts w:asciiTheme="minorEastAsia" w:hAnsiTheme="minorEastAsia" w:eastAsiaTheme="minorEastAsia"/>
          <w:sz w:val="24"/>
          <w:szCs w:val="24"/>
        </w:rPr>
        <w:t>国产</w:t>
      </w:r>
      <w:r>
        <w:rPr>
          <w:rFonts w:hint="eastAsia" w:asciiTheme="minorEastAsia" w:hAnsiTheme="minorEastAsia" w:eastAsiaTheme="minorEastAsia"/>
          <w:sz w:val="24"/>
          <w:szCs w:val="24"/>
        </w:rPr>
        <w:t>芯片</w:t>
      </w:r>
      <w:r>
        <w:rPr>
          <w:rFonts w:asciiTheme="minorEastAsia" w:hAnsiTheme="minorEastAsia" w:eastAsiaTheme="minorEastAsia"/>
          <w:sz w:val="24"/>
          <w:szCs w:val="24"/>
        </w:rPr>
        <w:t>、国产操作系统、</w:t>
      </w:r>
      <w:r>
        <w:rPr>
          <w:rFonts w:hint="eastAsia" w:asciiTheme="minorEastAsia" w:hAnsiTheme="minorEastAsia" w:eastAsiaTheme="minorEastAsia"/>
          <w:sz w:val="24"/>
          <w:szCs w:val="24"/>
        </w:rPr>
        <w:t>国产固件、</w:t>
      </w:r>
      <w:r>
        <w:rPr>
          <w:rFonts w:asciiTheme="minorEastAsia" w:hAnsiTheme="minorEastAsia" w:eastAsiaTheme="minorEastAsia"/>
          <w:sz w:val="24"/>
          <w:szCs w:val="24"/>
        </w:rPr>
        <w:t>国产内存、</w:t>
      </w:r>
      <w:r>
        <w:rPr>
          <w:rFonts w:hint="eastAsia" w:asciiTheme="minorEastAsia" w:hAnsiTheme="minorEastAsia" w:eastAsiaTheme="minorEastAsia"/>
          <w:sz w:val="24"/>
          <w:szCs w:val="24"/>
        </w:rPr>
        <w:t>国产</w:t>
      </w:r>
      <w:r>
        <w:rPr>
          <w:rFonts w:asciiTheme="minorEastAsia" w:hAnsiTheme="minorEastAsia" w:eastAsiaTheme="minorEastAsia"/>
          <w:sz w:val="24"/>
          <w:szCs w:val="24"/>
        </w:rPr>
        <w:t>硬盘</w:t>
      </w:r>
      <w:r>
        <w:rPr>
          <w:rFonts w:hint="eastAsia" w:asciiTheme="minorEastAsia" w:hAnsiTheme="minorEastAsia" w:eastAsiaTheme="minorEastAsia"/>
          <w:sz w:val="24"/>
          <w:szCs w:val="24"/>
        </w:rPr>
        <w:t>、国产独立</w:t>
      </w:r>
      <w:r>
        <w:rPr>
          <w:rFonts w:asciiTheme="minorEastAsia" w:hAnsiTheme="minorEastAsia" w:eastAsiaTheme="minorEastAsia"/>
          <w:sz w:val="24"/>
          <w:szCs w:val="24"/>
        </w:rPr>
        <w:t>显卡，所有的软硬件产品</w:t>
      </w:r>
      <w:r>
        <w:rPr>
          <w:rFonts w:hint="eastAsia" w:asciiTheme="minorEastAsia" w:hAnsiTheme="minorEastAsia" w:eastAsiaTheme="minorEastAsia"/>
          <w:sz w:val="24"/>
          <w:szCs w:val="24"/>
        </w:rPr>
        <w:t>均为国产，实现全面的自主可控。</w:t>
      </w:r>
    </w:p>
    <w:p w14:paraId="1964FF99">
      <w:pPr>
        <w:pStyle w:val="20"/>
        <w:numPr>
          <w:ilvl w:val="0"/>
          <w:numId w:val="2"/>
        </w:numPr>
        <w:spacing w:before="156" w:beforeLines="50" w:after="156" w:afterLines="50" w:line="360" w:lineRule="auto"/>
        <w:ind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轻薄质感，畅享奢华</w:t>
      </w:r>
    </w:p>
    <w:p w14:paraId="31A36DFA">
      <w:pPr>
        <w:pStyle w:val="20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FTBX101便携式计算机机壳结构采用铝合金一体冲压成型工艺，全金属温润触感，工作体验更舒适；纤薄机身，轻便灵巧。</w:t>
      </w:r>
    </w:p>
    <w:p w14:paraId="52AE3E96">
      <w:pPr>
        <w:pStyle w:val="20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显示屏采用16：10黄金比例，具有更大纵向可视空间和画面。</w:t>
      </w:r>
    </w:p>
    <w:p w14:paraId="01A3EE91">
      <w:pPr>
        <w:pStyle w:val="20"/>
        <w:numPr>
          <w:ilvl w:val="0"/>
          <w:numId w:val="2"/>
        </w:numPr>
        <w:spacing w:before="156" w:beforeLines="50" w:after="156" w:afterLines="50" w:line="360" w:lineRule="auto"/>
        <w:ind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性能强劲，活力十足</w:t>
      </w:r>
    </w:p>
    <w:p w14:paraId="745A6917">
      <w:pPr>
        <w:pStyle w:val="20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FTBX101便携式计算机采用国产飞腾D2000/8处理器，集成了8个高性能处理器内核，</w:t>
      </w:r>
      <w:r>
        <w:rPr>
          <w:rFonts w:asciiTheme="minorEastAsia" w:hAnsiTheme="minorEastAsia" w:eastAsiaTheme="minorEastAsia"/>
          <w:sz w:val="24"/>
          <w:szCs w:val="24"/>
        </w:rPr>
        <w:t>兼容64位ARM V8指令集</w:t>
      </w:r>
      <w:r>
        <w:rPr>
          <w:rFonts w:hint="eastAsia" w:asciiTheme="minorEastAsia" w:hAnsiTheme="minorEastAsia" w:eastAsiaTheme="minorEastAsia"/>
          <w:sz w:val="24"/>
          <w:szCs w:val="24"/>
        </w:rPr>
        <w:t>，</w:t>
      </w:r>
      <w:r>
        <w:rPr>
          <w:rFonts w:asciiTheme="minorEastAsia" w:hAnsiTheme="minorEastAsia" w:eastAsiaTheme="minorEastAsia"/>
          <w:sz w:val="24"/>
          <w:szCs w:val="24"/>
        </w:rPr>
        <w:t>最高主频2.3GHz</w:t>
      </w:r>
      <w:bookmarkStart w:id="2" w:name="OLE_LINK5"/>
      <w:r>
        <w:rPr>
          <w:rFonts w:hint="eastAsia" w:asciiTheme="minorEastAsia" w:hAnsiTheme="minorEastAsia" w:eastAsiaTheme="minorEastAsia"/>
          <w:sz w:val="24"/>
          <w:szCs w:val="24"/>
        </w:rPr>
        <w:t>。</w:t>
      </w:r>
      <w:r>
        <w:rPr>
          <w:rFonts w:hint="eastAsia" w:asciiTheme="minorEastAsia" w:hAnsiTheme="minorEastAsia"/>
          <w:sz w:val="24"/>
          <w:szCs w:val="24"/>
        </w:rPr>
        <w:t>配置LPDDR内存16GB</w:t>
      </w:r>
      <w:r>
        <w:rPr>
          <w:rFonts w:asciiTheme="minorEastAsia" w:hAnsiTheme="minorEastAsia" w:eastAsiaTheme="minorEastAsia"/>
          <w:sz w:val="24"/>
          <w:szCs w:val="24"/>
        </w:rPr>
        <w:t>，</w:t>
      </w:r>
      <w:r>
        <w:rPr>
          <w:rFonts w:hint="eastAsia" w:asciiTheme="minorEastAsia" w:hAnsiTheme="minorEastAsia" w:eastAsiaTheme="minorEastAsia"/>
          <w:sz w:val="24"/>
          <w:szCs w:val="24"/>
        </w:rPr>
        <w:t>最高支持32GB；</w:t>
      </w:r>
      <w:r>
        <w:rPr>
          <w:rFonts w:hint="eastAsia" w:asciiTheme="minorEastAsia" w:hAnsiTheme="minorEastAsia"/>
          <w:sz w:val="24"/>
          <w:szCs w:val="24"/>
        </w:rPr>
        <w:t>配置</w:t>
      </w:r>
      <w:r>
        <w:rPr>
          <w:rFonts w:asciiTheme="minorEastAsia" w:hAnsiTheme="minorEastAsia"/>
          <w:sz w:val="24"/>
          <w:szCs w:val="24"/>
        </w:rPr>
        <w:t>2280 NVME 512GB</w:t>
      </w:r>
      <w:r>
        <w:rPr>
          <w:rFonts w:hint="eastAsia" w:asciiTheme="minorEastAsia" w:hAnsiTheme="minorEastAsia"/>
          <w:sz w:val="24"/>
          <w:szCs w:val="24"/>
        </w:rPr>
        <w:t>（固态硬盘），最高可支持2TB；配置</w:t>
      </w:r>
      <w:r>
        <w:rPr>
          <w:rFonts w:asciiTheme="minorEastAsia" w:hAnsiTheme="minorEastAsia"/>
          <w:sz w:val="24"/>
          <w:szCs w:val="24"/>
        </w:rPr>
        <w:t>Wifi6网卡，疾速响应，高速传输</w:t>
      </w:r>
      <w:bookmarkEnd w:id="2"/>
      <w:r>
        <w:rPr>
          <w:rFonts w:hint="eastAsia" w:asciiTheme="minorEastAsia" w:hAnsiTheme="minorEastAsia" w:eastAsiaTheme="minorEastAsia"/>
          <w:sz w:val="24"/>
          <w:szCs w:val="24"/>
        </w:rPr>
        <w:t>；在产品散热上创新采用了双风扇散热技术，使计算机时刻保持低温。同时进行了降噪设计，确保产品可安静陪伴，无噪音困扰，尽情释放活力和灵感。</w:t>
      </w:r>
    </w:p>
    <w:p w14:paraId="4B7E8982">
      <w:pPr>
        <w:pStyle w:val="20"/>
        <w:numPr>
          <w:ilvl w:val="0"/>
          <w:numId w:val="2"/>
        </w:numPr>
        <w:spacing w:before="156" w:beforeLines="50" w:after="156" w:afterLines="50" w:line="360" w:lineRule="auto"/>
        <w:ind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接口丰富，扩展灵活</w:t>
      </w:r>
    </w:p>
    <w:p w14:paraId="533AECC2">
      <w:pPr>
        <w:pStyle w:val="20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FTBX101便携式计算机具有丰富的对外接口，配备USB、</w:t>
      </w:r>
      <w:r>
        <w:rPr>
          <w:rFonts w:asciiTheme="minorEastAsia" w:hAnsiTheme="minorEastAsia" w:eastAsiaTheme="minorEastAsia"/>
          <w:sz w:val="24"/>
          <w:szCs w:val="24"/>
        </w:rPr>
        <w:t>音频</w:t>
      </w:r>
      <w:r>
        <w:rPr>
          <w:rFonts w:hint="eastAsia" w:asciiTheme="minorEastAsia" w:hAnsiTheme="minorEastAsia" w:eastAsiaTheme="minorEastAsia"/>
          <w:sz w:val="24"/>
          <w:szCs w:val="24"/>
        </w:rPr>
        <w:t>、HDMI、10/100/1000自适应网口、TF卡等</w:t>
      </w:r>
      <w:r>
        <w:rPr>
          <w:rFonts w:asciiTheme="minorEastAsia" w:hAnsiTheme="minorEastAsia" w:eastAsiaTheme="minorEastAsia"/>
          <w:sz w:val="24"/>
          <w:szCs w:val="24"/>
        </w:rPr>
        <w:t>多种接口</w:t>
      </w:r>
      <w:r>
        <w:rPr>
          <w:rFonts w:hint="eastAsia" w:asciiTheme="minorEastAsia" w:hAnsiTheme="minorEastAsia" w:eastAsiaTheme="minorEastAsia"/>
          <w:sz w:val="24"/>
          <w:szCs w:val="24"/>
        </w:rPr>
        <w:t>，可以给客户业务扩展提供更加灵活选择。</w:t>
      </w:r>
    </w:p>
    <w:p w14:paraId="728E6123">
      <w:pPr>
        <w:pStyle w:val="20"/>
        <w:numPr>
          <w:ilvl w:val="0"/>
          <w:numId w:val="2"/>
        </w:numPr>
        <w:spacing w:before="156" w:beforeLines="50" w:after="156" w:afterLines="50" w:line="360" w:lineRule="auto"/>
        <w:ind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充放自如，稳定高效</w:t>
      </w:r>
    </w:p>
    <w:p w14:paraId="2C3E0097">
      <w:pPr>
        <w:pStyle w:val="20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FTBX101便携式计算机提供带标准Type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C接口的充电器，支持PD快充，并且在关机的情况下，支持对外充电，告别手机、平板等移动设备充电的烦恼，一充多用，轻装出行。</w:t>
      </w:r>
    </w:p>
    <w:p w14:paraId="07FA6DB1">
      <w:pPr>
        <w:pStyle w:val="20"/>
        <w:numPr>
          <w:ilvl w:val="0"/>
          <w:numId w:val="2"/>
        </w:numPr>
        <w:spacing w:before="156" w:beforeLines="50" w:after="156" w:afterLines="50" w:line="360" w:lineRule="auto"/>
        <w:ind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安全防护，隐私无忧</w:t>
      </w:r>
    </w:p>
    <w:p w14:paraId="6E0A3470">
      <w:pPr>
        <w:pStyle w:val="20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t>配置</w:t>
      </w:r>
      <w:r>
        <w:rPr>
          <w:rFonts w:hint="eastAsia" w:asciiTheme="minorEastAsia" w:hAnsiTheme="minorEastAsia" w:eastAsiaTheme="minorEastAsia"/>
          <w:sz w:val="24"/>
          <w:szCs w:val="24"/>
        </w:rPr>
        <w:t>安全锁孔、隐私拨码开关</w:t>
      </w:r>
      <w:r>
        <w:rPr>
          <w:rFonts w:asciiTheme="minorEastAsia" w:hAnsiTheme="minorEastAsia" w:eastAsiaTheme="minorEastAsia"/>
          <w:sz w:val="24"/>
          <w:szCs w:val="24"/>
        </w:rPr>
        <w:t>，</w:t>
      </w:r>
      <w:r>
        <w:rPr>
          <w:rFonts w:hint="eastAsia" w:asciiTheme="minorEastAsia" w:hAnsiTheme="minorEastAsia" w:eastAsiaTheme="minorEastAsia"/>
          <w:sz w:val="24"/>
          <w:szCs w:val="24"/>
        </w:rPr>
        <w:t>支持生物指纹识别，安全</w:t>
      </w:r>
      <w:r>
        <w:rPr>
          <w:rFonts w:asciiTheme="minorEastAsia" w:hAnsiTheme="minorEastAsia" w:eastAsiaTheme="minorEastAsia"/>
          <w:sz w:val="24"/>
          <w:szCs w:val="24"/>
        </w:rPr>
        <w:t>掌控随心</w:t>
      </w:r>
      <w:r>
        <w:rPr>
          <w:rFonts w:hint="eastAsia" w:asciiTheme="minorEastAsia" w:hAnsiTheme="minorEastAsia" w:eastAsiaTheme="minorEastAsia"/>
          <w:sz w:val="24"/>
          <w:szCs w:val="24"/>
        </w:rPr>
        <w:t>所欲，有效防止隐私泄露</w:t>
      </w:r>
      <w:r>
        <w:rPr>
          <w:rFonts w:asciiTheme="minorEastAsia" w:hAnsiTheme="minorEastAsia" w:eastAsiaTheme="minorEastAsia"/>
          <w:sz w:val="24"/>
          <w:szCs w:val="24"/>
        </w:rPr>
        <w:t>。</w:t>
      </w:r>
    </w:p>
    <w:p w14:paraId="4DFE4B70">
      <w:pPr>
        <w:pStyle w:val="20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</w:p>
    <w:p w14:paraId="33370A99">
      <w:pPr>
        <w:pStyle w:val="20"/>
        <w:numPr>
          <w:ilvl w:val="0"/>
          <w:numId w:val="2"/>
        </w:numPr>
        <w:spacing w:before="156" w:beforeLines="50" w:after="156" w:afterLines="50"/>
        <w:ind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多重认证</w:t>
      </w:r>
      <w:r>
        <w:rPr>
          <w:b/>
          <w:bCs/>
          <w:szCs w:val="28"/>
        </w:rPr>
        <w:t>，</w:t>
      </w:r>
      <w:r>
        <w:rPr>
          <w:rFonts w:hint="eastAsia"/>
          <w:b/>
          <w:bCs/>
          <w:szCs w:val="28"/>
        </w:rPr>
        <w:t>品质</w:t>
      </w:r>
      <w:r>
        <w:rPr>
          <w:b/>
          <w:bCs/>
          <w:szCs w:val="28"/>
        </w:rPr>
        <w:t>卓越</w:t>
      </w:r>
    </w:p>
    <w:p w14:paraId="619E5198">
      <w:pPr>
        <w:pStyle w:val="20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bookmarkStart w:id="3" w:name="_Hlk192861788"/>
      <w:r>
        <w:rPr>
          <w:rFonts w:hint="eastAsia" w:asciiTheme="minorEastAsia" w:hAnsiTheme="minorEastAsia" w:eastAsiaTheme="minorEastAsia"/>
          <w:sz w:val="24"/>
          <w:szCs w:val="24"/>
        </w:rPr>
        <w:t>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FTBX101便携式计算机</w:t>
      </w:r>
      <w:bookmarkStart w:id="4" w:name="_Hlk192861798"/>
      <w:r>
        <w:rPr>
          <w:rFonts w:hint="eastAsia" w:asciiTheme="minorEastAsia" w:hAnsiTheme="minorEastAsia" w:eastAsiaTheme="minorEastAsia"/>
          <w:sz w:val="24"/>
          <w:szCs w:val="24"/>
        </w:rPr>
        <w:t>通过3C、节能、能效、RoHS环保、十环、MTBF、SRRC、</w:t>
      </w:r>
      <w:bookmarkStart w:id="5" w:name="_Hlk192861928"/>
      <w:r>
        <w:rPr>
          <w:rFonts w:hint="eastAsia" w:asciiTheme="minorEastAsia" w:hAnsiTheme="minorEastAsia" w:eastAsiaTheme="minorEastAsia"/>
          <w:sz w:val="24"/>
          <w:szCs w:val="24"/>
        </w:rPr>
        <w:t>低蓝光无频闪</w:t>
      </w:r>
      <w:bookmarkEnd w:id="5"/>
      <w:r>
        <w:rPr>
          <w:rFonts w:asciiTheme="minorEastAsia" w:hAnsiTheme="minorEastAsia" w:eastAsiaTheme="minorEastAsia"/>
          <w:sz w:val="24"/>
          <w:szCs w:val="24"/>
        </w:rPr>
        <w:t>等相关</w:t>
      </w:r>
      <w:r>
        <w:rPr>
          <w:rFonts w:hint="eastAsia" w:asciiTheme="minorEastAsia" w:hAnsiTheme="minorEastAsia" w:eastAsiaTheme="minorEastAsia"/>
          <w:sz w:val="24"/>
          <w:szCs w:val="24"/>
        </w:rPr>
        <w:t>认证</w:t>
      </w:r>
      <w:r>
        <w:rPr>
          <w:rFonts w:asciiTheme="minorEastAsia" w:hAnsiTheme="minorEastAsia" w:eastAsiaTheme="minorEastAsia"/>
          <w:sz w:val="24"/>
          <w:szCs w:val="24"/>
        </w:rPr>
        <w:t>，保证产品质量</w:t>
      </w:r>
      <w:bookmarkEnd w:id="4"/>
      <w:r>
        <w:rPr>
          <w:rFonts w:hint="eastAsia" w:asciiTheme="minorEastAsia" w:hAnsiTheme="minorEastAsia" w:eastAsiaTheme="minorEastAsia"/>
          <w:sz w:val="24"/>
          <w:szCs w:val="24"/>
        </w:rPr>
        <w:t>。</w:t>
      </w:r>
    </w:p>
    <w:bookmarkEnd w:id="3"/>
    <w:p w14:paraId="74927FA0">
      <w:pPr>
        <w:pStyle w:val="20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</w:p>
    <w:p w14:paraId="0777B31F">
      <w:pPr>
        <w:pStyle w:val="17"/>
        <w:pageBreakBefore/>
        <w:numPr>
          <w:ilvl w:val="0"/>
          <w:numId w:val="1"/>
        </w:numPr>
        <w:spacing w:before="156" w:beforeLines="50" w:line="360" w:lineRule="auto"/>
        <w:ind w:firstLineChars="0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6" w:name="_Toc161850694"/>
      <w:r>
        <w:rPr>
          <w:rFonts w:hint="eastAsia" w:ascii="Times New Roman" w:hAnsi="Times New Roman" w:eastAsia="宋体" w:cs="Times New Roman"/>
          <w:b/>
          <w:sz w:val="30"/>
          <w:szCs w:val="30"/>
        </w:rPr>
        <w:t>产品规格</w:t>
      </w:r>
      <w:bookmarkEnd w:id="6"/>
    </w:p>
    <w:p w14:paraId="2322E2C7">
      <w:pPr>
        <w:pStyle w:val="4"/>
        <w:jc w:val="right"/>
        <w:rPr>
          <w:rFonts w:hint="eastAsia" w:cs="宋体" w:asciiTheme="minorEastAsia" w:hAnsiTheme="minorEastAsia" w:eastAsiaTheme="minorEastAsia"/>
          <w:sz w:val="18"/>
          <w:szCs w:val="18"/>
        </w:rPr>
      </w:pPr>
      <w:r>
        <w:rPr>
          <w:rFonts w:hint="eastAsia" w:asciiTheme="minorEastAsia" w:hAnsiTheme="minorEastAsia" w:eastAsiaTheme="minorEastAsia"/>
          <w:sz w:val="18"/>
          <w:szCs w:val="18"/>
        </w:rPr>
        <w:t xml:space="preserve">表 </w:t>
      </w:r>
      <w:r>
        <w:rPr>
          <w:rFonts w:asciiTheme="minorEastAsia" w:hAnsiTheme="minorEastAsia" w:eastAsiaTheme="minorEastAsia"/>
          <w:sz w:val="18"/>
          <w:szCs w:val="18"/>
        </w:rPr>
        <w:fldChar w:fldCharType="begin"/>
      </w:r>
      <w:r>
        <w:rPr>
          <w:rFonts w:asciiTheme="minorEastAsia" w:hAnsiTheme="minorEastAsia" w:eastAsiaTheme="minorEastAsia"/>
          <w:sz w:val="18"/>
          <w:szCs w:val="18"/>
        </w:rPr>
        <w:instrText xml:space="preserve"> </w:instrText>
      </w:r>
      <w:r>
        <w:rPr>
          <w:rFonts w:hint="eastAsia" w:asciiTheme="minorEastAsia" w:hAnsiTheme="minorEastAsia" w:eastAsiaTheme="minorEastAsia"/>
          <w:sz w:val="18"/>
          <w:szCs w:val="18"/>
        </w:rPr>
        <w:instrText xml:space="preserve">SEQ 表格 \* ARABIC</w:instrText>
      </w:r>
      <w:r>
        <w:rPr>
          <w:rFonts w:asciiTheme="minorEastAsia" w:hAnsiTheme="minorEastAsia" w:eastAsiaTheme="minorEastAsia"/>
          <w:sz w:val="18"/>
          <w:szCs w:val="18"/>
        </w:rPr>
        <w:instrText xml:space="preserve"> </w:instrText>
      </w:r>
      <w:r>
        <w:rPr>
          <w:rFonts w:asciiTheme="minorEastAsia" w:hAnsiTheme="minorEastAsia" w:eastAsiaTheme="minorEastAsia"/>
          <w:sz w:val="18"/>
          <w:szCs w:val="18"/>
        </w:rPr>
        <w:fldChar w:fldCharType="separate"/>
      </w:r>
      <w:r>
        <w:rPr>
          <w:rFonts w:hint="eastAsia" w:asciiTheme="minorEastAsia" w:hAnsiTheme="minorEastAsia" w:eastAsiaTheme="minorEastAsia"/>
          <w:sz w:val="18"/>
          <w:szCs w:val="18"/>
        </w:rPr>
        <w:t>1</w:t>
      </w:r>
      <w:r>
        <w:rPr>
          <w:rFonts w:asciiTheme="minorEastAsia" w:hAnsiTheme="minorEastAsia" w:eastAsiaTheme="minorEastAsia"/>
          <w:sz w:val="18"/>
          <w:szCs w:val="18"/>
        </w:rPr>
        <w:fldChar w:fldCharType="end"/>
      </w:r>
      <w:r>
        <w:rPr>
          <w:rFonts w:asciiTheme="minorEastAsia" w:hAnsiTheme="minorEastAsia" w:eastAsiaTheme="minorEastAsia"/>
          <w:sz w:val="18"/>
          <w:szCs w:val="18"/>
        </w:rPr>
        <w:t xml:space="preserve"> </w:t>
      </w:r>
      <w:r>
        <w:rPr>
          <w:rFonts w:hint="eastAsia" w:asciiTheme="minorEastAsia" w:hAnsiTheme="minorEastAsia" w:eastAsiaTheme="minorEastAsia"/>
          <w:sz w:val="18"/>
          <w:szCs w:val="18"/>
        </w:rPr>
        <w:t>产品技术参数</w:t>
      </w:r>
    </w:p>
    <w:tbl>
      <w:tblPr>
        <w:tblStyle w:val="9"/>
        <w:tblW w:w="83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2298"/>
        <w:gridCol w:w="5499"/>
      </w:tblGrid>
      <w:tr w14:paraId="4FB524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shd w:val="clear" w:color="auto" w:fill="auto"/>
            <w:vAlign w:val="center"/>
          </w:tcPr>
          <w:p w14:paraId="7934E6E5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产品型号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7D8AC504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ZJDZ-FTBX101</w:t>
            </w:r>
          </w:p>
        </w:tc>
      </w:tr>
      <w:tr w14:paraId="0BF7D9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7357CA9B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基本功能特性</w:t>
            </w:r>
          </w:p>
        </w:tc>
        <w:tc>
          <w:tcPr>
            <w:tcW w:w="2298" w:type="dxa"/>
            <w:shd w:val="clear" w:color="auto" w:fill="auto"/>
            <w:vAlign w:val="center"/>
          </w:tcPr>
          <w:p w14:paraId="0A0482F7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CPU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6A20EB82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飞腾腾锐D2000,ARM架构8核处理器，主频2.3GHz</w:t>
            </w:r>
          </w:p>
        </w:tc>
      </w:tr>
      <w:tr w14:paraId="37A852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3E69A0CC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754A8A39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操作系统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47A59DEC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bookmarkStart w:id="7" w:name="OLE_LINK6"/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国产操作系统</w:t>
            </w:r>
            <w:bookmarkEnd w:id="7"/>
          </w:p>
        </w:tc>
      </w:tr>
      <w:tr w14:paraId="02D2B6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4F687A8D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7632657C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固件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066C4654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国产固件</w:t>
            </w:r>
            <w:bookmarkStart w:id="15" w:name="_GoBack"/>
            <w:bookmarkEnd w:id="15"/>
          </w:p>
        </w:tc>
      </w:tr>
      <w:tr w14:paraId="1E88B9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68BB5F03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7738EB0D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硬盘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5D9E5751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2280 NVME 512GB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 xml:space="preserve"> (固态硬盘)，</w:t>
            </w:r>
            <w:bookmarkStart w:id="8" w:name="OLE_LINK2"/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可扩展为2TB</w:t>
            </w:r>
            <w:bookmarkEnd w:id="8"/>
          </w:p>
        </w:tc>
      </w:tr>
      <w:tr w14:paraId="0C9461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vAlign w:val="center"/>
          </w:tcPr>
          <w:p w14:paraId="7E4280F3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5859F5B8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内存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0E346F09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16GB LPDDR4,板载RAM，最大支持扩展至32G</w:t>
            </w:r>
          </w:p>
        </w:tc>
      </w:tr>
      <w:tr w14:paraId="1794B8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562" w:type="dxa"/>
            <w:vMerge w:val="continue"/>
            <w:vAlign w:val="center"/>
          </w:tcPr>
          <w:p w14:paraId="337D504F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697EBBAA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显卡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3DF26836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2GB 独立显卡,LPDDR4，可扩展至4GB</w:t>
            </w:r>
          </w:p>
        </w:tc>
      </w:tr>
      <w:tr w14:paraId="6EC5A6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562" w:type="dxa"/>
            <w:vMerge w:val="continue"/>
            <w:vAlign w:val="center"/>
          </w:tcPr>
          <w:p w14:paraId="3F70711E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57B05660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网卡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22EE8FD9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1个GbE有线网卡，支持1个RJ45千兆网络接口</w:t>
            </w:r>
          </w:p>
          <w:p w14:paraId="35112BAF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1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个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WIFI6+BT5.2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二合一无线模块</w:t>
            </w:r>
          </w:p>
        </w:tc>
      </w:tr>
      <w:tr w14:paraId="5F4D33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2F99F25B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扩展接口</w:t>
            </w:r>
          </w:p>
        </w:tc>
        <w:tc>
          <w:tcPr>
            <w:tcW w:w="2298" w:type="dxa"/>
            <w:shd w:val="clear" w:color="auto" w:fill="auto"/>
            <w:vAlign w:val="center"/>
          </w:tcPr>
          <w:p w14:paraId="3FF35D4F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光驱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764F67C7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USB DVD+/-RW光驱(外置)</w:t>
            </w:r>
          </w:p>
        </w:tc>
      </w:tr>
      <w:tr w14:paraId="649D31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2FBBD437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53C90B1C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USB 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62BC15CC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2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个USB3.0接口</w:t>
            </w:r>
          </w:p>
        </w:tc>
      </w:tr>
      <w:tr w14:paraId="5617FD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7D72F97B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3ED9E7DC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Type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-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C接口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48A0A648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3个Type-C接口</w:t>
            </w:r>
          </w:p>
        </w:tc>
      </w:tr>
      <w:tr w14:paraId="1C7D81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715DA1C7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30144695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网络接口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14E47C34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1个RJ-45网口 (无需转接)</w:t>
            </w:r>
          </w:p>
        </w:tc>
      </w:tr>
      <w:tr w14:paraId="28BBA9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15E1B8F4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0F813179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HDMI接口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6A53B7B6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1个HDMI接口</w:t>
            </w:r>
          </w:p>
        </w:tc>
      </w:tr>
      <w:tr w14:paraId="1FF713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vAlign w:val="center"/>
          </w:tcPr>
          <w:p w14:paraId="425981FA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7EDC195A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音频接口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5CC5811D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1个音频接口</w:t>
            </w:r>
          </w:p>
        </w:tc>
      </w:tr>
      <w:tr w14:paraId="14E33B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vAlign w:val="center"/>
          </w:tcPr>
          <w:p w14:paraId="64AB20D2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14170191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安全接口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51A3D305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1个隐私拨码开关、1个安全锁孔</w:t>
            </w:r>
          </w:p>
        </w:tc>
      </w:tr>
      <w:tr w14:paraId="062230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Merge w:val="restart"/>
            <w:vAlign w:val="center"/>
          </w:tcPr>
          <w:p w14:paraId="6C654803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开关和指示灯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048890A8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1个开机按键、支持选配指纹识别</w:t>
            </w:r>
          </w:p>
        </w:tc>
      </w:tr>
      <w:tr w14:paraId="374B1D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Merge w:val="continue"/>
            <w:vAlign w:val="center"/>
          </w:tcPr>
          <w:p w14:paraId="68A5FD28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5499" w:type="dxa"/>
            <w:shd w:val="clear" w:color="auto" w:fill="auto"/>
            <w:vAlign w:val="center"/>
          </w:tcPr>
          <w:p w14:paraId="42EDC92A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1个充电指示灯</w:t>
            </w:r>
          </w:p>
        </w:tc>
      </w:tr>
      <w:tr w14:paraId="61F3E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Merge w:val="continue"/>
            <w:vAlign w:val="center"/>
          </w:tcPr>
          <w:p w14:paraId="57C08817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5499" w:type="dxa"/>
            <w:shd w:val="clear" w:color="auto" w:fill="auto"/>
            <w:vAlign w:val="center"/>
          </w:tcPr>
          <w:p w14:paraId="1031CF8C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1个拨码开关指示灯</w:t>
            </w:r>
          </w:p>
        </w:tc>
      </w:tr>
      <w:tr w14:paraId="1AFB9B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Merge w:val="continue"/>
            <w:vAlign w:val="center"/>
          </w:tcPr>
          <w:p w14:paraId="6496EC39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5499" w:type="dxa"/>
            <w:shd w:val="clear" w:color="auto" w:fill="auto"/>
            <w:vAlign w:val="center"/>
          </w:tcPr>
          <w:p w14:paraId="0CF12A97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1个电源指示灯</w:t>
            </w:r>
          </w:p>
        </w:tc>
      </w:tr>
      <w:tr w14:paraId="24F8F0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417DE425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电池续航能力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15A63982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电池续航时间≥3小时(典型工作状态下）</w:t>
            </w:r>
          </w:p>
        </w:tc>
      </w:tr>
      <w:tr w14:paraId="4EF790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7D2CEC13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电源输入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3F698A9D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支持交流电源适配器供电和电池供电两种方式</w:t>
            </w:r>
          </w:p>
        </w:tc>
      </w:tr>
      <w:tr w14:paraId="7CBB6F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0A758541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电池额定能量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5985CAA1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65Wh</w:t>
            </w:r>
          </w:p>
        </w:tc>
      </w:tr>
      <w:tr w14:paraId="71A1CC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3DA91378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机身颜色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1A5CB53E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黑色/银色等商务色系</w:t>
            </w:r>
          </w:p>
        </w:tc>
      </w:tr>
      <w:tr w14:paraId="26ECEA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672BBD85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机身材质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14128E61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铝合金</w:t>
            </w:r>
          </w:p>
        </w:tc>
      </w:tr>
      <w:tr w14:paraId="00F1E2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69F73EA3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整机重量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4D2AE076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≤1.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4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4kg</w:t>
            </w:r>
          </w:p>
        </w:tc>
      </w:tr>
      <w:tr w14:paraId="06404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5A82048C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整机厚度（不含脚垫）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48F55164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整机外形尺寸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313.0mm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×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224.0mm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×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16.6mm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（不含垫脚及局部突出物）</w:t>
            </w:r>
          </w:p>
        </w:tc>
      </w:tr>
      <w:tr w14:paraId="123233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6B438FF2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显示屏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19F61FE4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屏幕尺寸：14英寸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br w:type="textWrapping"/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支持分辨率:1920*1200P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br w:type="textWrapping"/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色准：最大△E≤4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br w:type="textWrapping"/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屏幕比例:16:10</w:t>
            </w:r>
          </w:p>
        </w:tc>
      </w:tr>
      <w:tr w14:paraId="21CBE4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" w:hRule="atLeast"/>
        </w:trPr>
        <w:tc>
          <w:tcPr>
            <w:tcW w:w="2860" w:type="dxa"/>
            <w:gridSpan w:val="2"/>
            <w:vAlign w:val="center"/>
          </w:tcPr>
          <w:p w14:paraId="2AF79F32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摄像头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78A30A37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1个前置摄像头,像素100万,分辨率720P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 xml:space="preserve"> </w:t>
            </w:r>
          </w:p>
        </w:tc>
      </w:tr>
      <w:tr w14:paraId="213BEA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" w:hRule="atLeast"/>
        </w:trPr>
        <w:tc>
          <w:tcPr>
            <w:tcW w:w="2860" w:type="dxa"/>
            <w:gridSpan w:val="2"/>
            <w:vAlign w:val="center"/>
          </w:tcPr>
          <w:p w14:paraId="1CFCC64C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产品资质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2850077C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bookmarkStart w:id="9" w:name="OLE_LINK1"/>
            <w:bookmarkStart w:id="10" w:name="OLE_LINK8"/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3C、节能、能效、RoHS环保、十环、MTBF、SRRC</w:t>
            </w:r>
            <w:bookmarkEnd w:id="9"/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、</w:t>
            </w:r>
            <w:bookmarkStart w:id="11" w:name="_Hlk192863076"/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低蓝光无频闪</w:t>
            </w:r>
            <w:bookmarkEnd w:id="11"/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认证</w:t>
            </w:r>
            <w:bookmarkEnd w:id="10"/>
          </w:p>
        </w:tc>
      </w:tr>
      <w:tr w14:paraId="0AE92F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" w:hRule="atLeast"/>
        </w:trPr>
        <w:tc>
          <w:tcPr>
            <w:tcW w:w="2860" w:type="dxa"/>
            <w:gridSpan w:val="2"/>
            <w:vAlign w:val="center"/>
          </w:tcPr>
          <w:p w14:paraId="12A105A7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环境适应性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46628B85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工作温度 5℃~35℃，工作湿度35%~80% RH</w:t>
            </w:r>
          </w:p>
          <w:p w14:paraId="4D8F3B77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存储温度 -40℃~55℃，存储湿度20%~90% RH</w:t>
            </w:r>
          </w:p>
        </w:tc>
      </w:tr>
    </w:tbl>
    <w:p w14:paraId="6F7AA6D8">
      <w:pPr>
        <w:rPr>
          <w:rFonts w:hint="eastAsia" w:ascii="宋体" w:hAnsi="宋体" w:eastAsia="宋体" w:cs="宋体"/>
          <w:szCs w:val="21"/>
        </w:rPr>
      </w:pPr>
    </w:p>
    <w:p w14:paraId="0C62B726">
      <w:pPr>
        <w:pStyle w:val="17"/>
        <w:pageBreakBefore/>
        <w:numPr>
          <w:ilvl w:val="0"/>
          <w:numId w:val="1"/>
        </w:numPr>
        <w:spacing w:before="156" w:beforeLines="50" w:line="360" w:lineRule="auto"/>
        <w:ind w:firstLineChars="0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12" w:name="_Toc161850695"/>
      <w:r>
        <w:rPr>
          <w:rFonts w:hint="eastAsia" w:ascii="Times New Roman" w:hAnsi="Times New Roman" w:eastAsia="宋体" w:cs="Times New Roman"/>
          <w:b/>
          <w:sz w:val="30"/>
          <w:szCs w:val="30"/>
        </w:rPr>
        <w:t>面板介绍</w:t>
      </w:r>
      <w:bookmarkEnd w:id="12"/>
    </w:p>
    <w:p w14:paraId="52047D70">
      <w:pPr>
        <w:adjustRightInd w:val="0"/>
        <w:snapToGrid w:val="0"/>
        <w:spacing w:line="360" w:lineRule="auto"/>
        <w:jc w:val="left"/>
        <w:rPr>
          <w:b/>
          <w:bCs/>
          <w:szCs w:val="28"/>
        </w:rPr>
      </w:pPr>
      <w:r>
        <w:rPr>
          <w:rFonts w:hint="eastAsia"/>
          <w:b/>
          <w:bCs/>
          <w:sz w:val="28"/>
          <w:szCs w:val="28"/>
        </w:rPr>
        <w:t>A.功能外观图</w:t>
      </w:r>
      <w:r>
        <w:rPr>
          <w:rFonts w:hint="eastAsia" w:eastAsia="宋体"/>
          <w:b/>
          <w:bCs/>
          <w:sz w:val="28"/>
          <w:szCs w:val="28"/>
        </w:rPr>
        <w:t>：</w:t>
      </w:r>
    </w:p>
    <w:p w14:paraId="114D01B7">
      <w:pPr>
        <w:spacing w:line="360" w:lineRule="auto"/>
        <w:jc w:val="center"/>
        <w:rPr>
          <w:rFonts w:hint="eastAsia" w:ascii="宋体" w:hAnsi="宋体" w:eastAsia="宋体" w:cs="宋体"/>
          <w:szCs w:val="21"/>
        </w:rPr>
      </w:pPr>
      <w:r>
        <w:drawing>
          <wp:inline distT="0" distB="0" distL="0" distR="0">
            <wp:extent cx="3246120" cy="34086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531" cy="343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2F022">
      <w:pPr>
        <w:jc w:val="center"/>
        <w:rPr>
          <w:rFonts w:hint="eastAsia"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图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SEQ 图表 \* ARABIC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hint="eastAsia" w:asciiTheme="minorEastAsia" w:hAnsiTheme="minorEastAsia"/>
        </w:rPr>
        <w:t>3</w:t>
      </w:r>
      <w:r>
        <w:rPr>
          <w:rFonts w:asciiTheme="minorEastAsia" w:hAnsiTheme="minorEastAsia"/>
        </w:rPr>
        <w:fldChar w:fldCharType="end"/>
      </w:r>
      <w:r>
        <w:rPr>
          <w:rFonts w:asciiTheme="minorEastAsia" w:hAnsiTheme="minorEastAsia"/>
        </w:rPr>
        <w:t xml:space="preserve"> </w:t>
      </w:r>
      <w:r>
        <w:rPr>
          <w:rFonts w:hint="eastAsia" w:asciiTheme="minorEastAsia" w:hAnsiTheme="minorEastAsia"/>
          <w:sz w:val="18"/>
          <w:szCs w:val="18"/>
        </w:rPr>
        <w:t>功能外观</w:t>
      </w:r>
      <w:r>
        <w:rPr>
          <w:rFonts w:asciiTheme="minorEastAsia" w:hAnsiTheme="minorEastAsia"/>
          <w:sz w:val="18"/>
          <w:szCs w:val="18"/>
        </w:rPr>
        <w:t>图</w:t>
      </w:r>
    </w:p>
    <w:p w14:paraId="17936E8F">
      <w:pPr>
        <w:jc w:val="center"/>
        <w:rPr>
          <w:rFonts w:hint="eastAsia" w:asciiTheme="minorEastAsia" w:hAnsiTheme="minorEastAsia"/>
          <w:sz w:val="18"/>
          <w:szCs w:val="18"/>
        </w:rPr>
      </w:pPr>
    </w:p>
    <w:p w14:paraId="34101DE5">
      <w:pPr>
        <w:spacing w:line="360" w:lineRule="auto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/>
          <w:b/>
          <w:bCs/>
          <w:sz w:val="28"/>
          <w:szCs w:val="28"/>
        </w:rPr>
        <w:t>B.</w:t>
      </w:r>
      <w:r>
        <w:rPr>
          <w:rFonts w:hint="eastAsia" w:eastAsia="宋体"/>
          <w:b/>
          <w:bCs/>
          <w:sz w:val="28"/>
          <w:szCs w:val="28"/>
        </w:rPr>
        <w:t>对外接口图：</w:t>
      </w:r>
      <w:r>
        <w:rPr>
          <w:rStyle w:val="13"/>
          <w:rFonts w:hint="eastAsia" w:ascii="宋体" w:hAnsi="宋体" w:eastAsia="宋体" w:cs="宋体"/>
          <w:szCs w:val="21"/>
        </w:rPr>
        <w:t xml:space="preserve">       </w:t>
      </w:r>
    </w:p>
    <w:p w14:paraId="542BCFE9">
      <w:pPr>
        <w:jc w:val="center"/>
        <w:rPr>
          <w:rFonts w:hint="eastAsia" w:asciiTheme="minorEastAsia" w:hAnsiTheme="minorEastAsia"/>
          <w:sz w:val="18"/>
          <w:szCs w:val="18"/>
        </w:rPr>
      </w:pPr>
      <w:r>
        <w:drawing>
          <wp:inline distT="0" distB="0" distL="0" distR="0">
            <wp:extent cx="3672205" cy="3494405"/>
            <wp:effectExtent l="0" t="0" r="4445" b="0"/>
            <wp:docPr id="2154233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42334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86239" cy="350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B1BEB">
      <w:pPr>
        <w:jc w:val="center"/>
        <w:rPr>
          <w:rFonts w:hint="eastAsia"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图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SEQ 图表 \* ARABIC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hint="eastAsia" w:asciiTheme="minorEastAsia" w:hAnsiTheme="minorEastAsia"/>
        </w:rPr>
        <w:t>4</w:t>
      </w:r>
      <w:r>
        <w:rPr>
          <w:rFonts w:asciiTheme="minorEastAsia" w:hAnsiTheme="minorEastAsia"/>
        </w:rPr>
        <w:fldChar w:fldCharType="end"/>
      </w:r>
      <w:r>
        <w:rPr>
          <w:rFonts w:asciiTheme="minorEastAsia" w:hAnsiTheme="minorEastAsia"/>
        </w:rPr>
        <w:t xml:space="preserve"> </w:t>
      </w:r>
      <w:r>
        <w:rPr>
          <w:rFonts w:hint="eastAsia" w:asciiTheme="minorEastAsia" w:hAnsiTheme="minorEastAsia"/>
          <w:sz w:val="18"/>
          <w:szCs w:val="18"/>
        </w:rPr>
        <w:t>对外接口</w:t>
      </w:r>
      <w:r>
        <w:rPr>
          <w:rFonts w:asciiTheme="minorEastAsia" w:hAnsiTheme="minorEastAsia"/>
          <w:sz w:val="18"/>
          <w:szCs w:val="18"/>
        </w:rPr>
        <w:t>图</w:t>
      </w:r>
    </w:p>
    <w:p w14:paraId="6B45FBCF">
      <w:pPr>
        <w:pStyle w:val="17"/>
        <w:pageBreakBefore/>
        <w:numPr>
          <w:ilvl w:val="0"/>
          <w:numId w:val="1"/>
        </w:numPr>
        <w:spacing w:before="156" w:beforeLines="50" w:line="360" w:lineRule="auto"/>
        <w:ind w:firstLineChars="0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13" w:name="_Toc161850696"/>
      <w:r>
        <w:rPr>
          <w:rFonts w:hint="eastAsia" w:ascii="Times New Roman" w:hAnsi="Times New Roman" w:eastAsia="宋体" w:cs="Times New Roman"/>
          <w:b/>
          <w:sz w:val="30"/>
          <w:szCs w:val="30"/>
        </w:rPr>
        <w:t>典型应用</w:t>
      </w:r>
      <w:bookmarkEnd w:id="13"/>
    </w:p>
    <w:p w14:paraId="76DA3273">
      <w:pPr>
        <w:pStyle w:val="20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中建电子ZJDZ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FTBX101便携式计算机采用</w:t>
      </w:r>
      <w:bookmarkStart w:id="14" w:name="OLE_LINK4"/>
      <w:r>
        <w:rPr>
          <w:rFonts w:hint="eastAsia" w:asciiTheme="minorEastAsia" w:hAnsiTheme="minorEastAsia" w:eastAsiaTheme="minorEastAsia"/>
          <w:sz w:val="24"/>
          <w:szCs w:val="24"/>
        </w:rPr>
        <w:t>国产飞腾D2000处理器</w:t>
      </w:r>
      <w:bookmarkEnd w:id="14"/>
      <w:r>
        <w:rPr>
          <w:rFonts w:hint="eastAsia" w:asciiTheme="minorEastAsia" w:hAnsiTheme="minorEastAsia" w:eastAsiaTheme="minorEastAsia"/>
          <w:sz w:val="24"/>
          <w:szCs w:val="24"/>
        </w:rPr>
        <w:t>，搭载国产操作系统，可流畅播放1080P、4K高清视频，支持国产主流办公软件、浏览器、杀毒软件、打印机等外设，计算性能强劲，完全满足党政、金融、电信、能源、建筑等领域的办公需求。</w:t>
      </w:r>
    </w:p>
    <w:p w14:paraId="2BCE6887">
      <w:pPr>
        <w:pStyle w:val="17"/>
        <w:spacing w:before="156" w:beforeLines="50" w:line="360" w:lineRule="auto"/>
        <w:ind w:firstLine="0" w:firstLineChars="0"/>
        <w:jc w:val="center"/>
        <w:rPr>
          <w:rFonts w:hint="eastAsia" w:ascii="宋体" w:hAnsi="宋体" w:eastAsia="宋体" w:cs="宋体"/>
          <w:spacing w:val="-5"/>
          <w:w w:val="105"/>
          <w:sz w:val="23"/>
          <w:szCs w:val="23"/>
          <w:lang w:bidi="zh-CN"/>
        </w:rPr>
      </w:pPr>
      <w:r>
        <w:rPr>
          <w:rFonts w:ascii="宋体" w:hAnsi="宋体" w:eastAsia="宋体" w:cs="宋体"/>
          <w:spacing w:val="-5"/>
          <w:w w:val="105"/>
          <w:sz w:val="23"/>
          <w:szCs w:val="23"/>
        </w:rPr>
        <w:drawing>
          <wp:inline distT="0" distB="0" distL="114300" distR="114300">
            <wp:extent cx="4602480" cy="28194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145" cy="283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F1597">
      <w:pPr>
        <w:jc w:val="center"/>
        <w:rPr>
          <w:rFonts w:hint="eastAsia"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图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SEQ 图表 \* ARABIC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hint="eastAsia" w:asciiTheme="minorEastAsia" w:hAnsiTheme="minorEastAsia"/>
        </w:rPr>
        <w:t>5</w:t>
      </w:r>
      <w:r>
        <w:rPr>
          <w:rFonts w:asciiTheme="minorEastAsia" w:hAnsiTheme="minorEastAsia"/>
        </w:rPr>
        <w:fldChar w:fldCharType="end"/>
      </w:r>
      <w:r>
        <w:rPr>
          <w:rFonts w:asciiTheme="minorEastAsia" w:hAnsiTheme="minorEastAsia"/>
        </w:rPr>
        <w:t xml:space="preserve"> </w:t>
      </w:r>
      <w:r>
        <w:rPr>
          <w:rFonts w:hint="eastAsia" w:asciiTheme="minorEastAsia" w:hAnsiTheme="minorEastAsia"/>
          <w:sz w:val="18"/>
          <w:szCs w:val="18"/>
        </w:rPr>
        <w:t>典型应用示意</w:t>
      </w:r>
      <w:r>
        <w:rPr>
          <w:rFonts w:asciiTheme="minorEastAsia" w:hAnsiTheme="minorEastAsia"/>
          <w:sz w:val="18"/>
          <w:szCs w:val="18"/>
        </w:rPr>
        <w:t>图</w:t>
      </w:r>
    </w:p>
    <w:p w14:paraId="3ECEDE1A">
      <w:pPr>
        <w:pStyle w:val="17"/>
        <w:spacing w:before="156" w:beforeLines="50" w:line="360" w:lineRule="auto"/>
        <w:ind w:firstLine="562"/>
        <w:rPr>
          <w:rFonts w:eastAsia="宋体"/>
          <w:b/>
          <w:bCs/>
          <w:sz w:val="28"/>
          <w:szCs w:val="28"/>
        </w:rPr>
      </w:pPr>
      <w:r>
        <w:rPr>
          <w:rFonts w:hint="eastAsia" w:eastAsia="宋体"/>
          <w:b/>
          <w:bCs/>
          <w:sz w:val="28"/>
          <w:szCs w:val="28"/>
        </w:rPr>
        <w:t>应用场景：</w:t>
      </w:r>
    </w:p>
    <w:p w14:paraId="212B624A">
      <w:pPr>
        <w:pStyle w:val="20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可广泛应用于信息化办公系统、电子公文系统、电子邮件系统、电子文档系统、服务器群组管理等业务应用的用户终端部署、搭建。</w:t>
      </w:r>
    </w:p>
    <w:sectPr>
      <w:footerReference r:id="rId6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汉仪大宋简">
    <w:altName w:val="宋体"/>
    <w:panose1 w:val="00000000000000000000"/>
    <w:charset w:val="86"/>
    <w:family w:val="modern"/>
    <w:pitch w:val="default"/>
    <w:sig w:usb0="00000000" w:usb1="00000000" w:usb2="00000012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456743">
    <w:pPr>
      <w:pStyle w:val="6"/>
      <w:jc w:val="center"/>
    </w:pPr>
  </w:p>
  <w:p w14:paraId="2D97436B"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39BD29">
    <w:pPr>
      <w:pStyle w:val="6"/>
      <w:jc w:val="center"/>
    </w:pPr>
  </w:p>
  <w:p w14:paraId="551A87AA"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230247">
    <w:pPr>
      <w:pStyle w:val="6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939097215"/>
                          </w:sdtPr>
                          <w:sdtContent>
                            <w:p w14:paraId="4EA0693D">
                              <w:pPr>
                                <w:pStyle w:val="6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8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7AF237AD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pGcYwr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mFKiWYKFb98/3b5&#10;8evy8yvBGQRqrJ8jbmcRGdq3pkXwcO5xGHm3pVPxC0YEfsh7vsor2kB4vDSbzmZjuDh8wwb42eN1&#10;63x4J4wi0cipQ/2SrOy09aELHUJiNm02tZSphlKTJqc3r9+M04WrB+BSI0ck0T02WqHdtz2zvSnO&#10;IOZM1xve8k2N5FvmwwNzaAY8GOMS7rGU0iCJ6S1KKuO+/Os8xqNG8FLSoLlyqjFLlMj3GrUDYBgM&#10;Nxj7wdBHdWfQrROMoeXJxAUX5GCWzqjPmKFVzAEX0xyZchoG8y50DY4Z5GK1SkHoNsvCVu8sj9BR&#10;PG9XxwABk65RlE6JXiv0W6pMPxuxof/cp6jH/8Hy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CaRnGM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939097215"/>
                    </w:sdtPr>
                    <w:sdtContent>
                      <w:p w14:paraId="4EA0693D">
                        <w:pPr>
                          <w:pStyle w:val="6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7AF237AD"/>
                </w:txbxContent>
              </v:textbox>
            </v:shape>
          </w:pict>
        </mc:Fallback>
      </mc:AlternateContent>
    </w:r>
  </w:p>
  <w:p w14:paraId="5F1B4B90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F161DE">
    <w:pPr>
      <w:pStyle w:val="7"/>
    </w:pPr>
    <w:r>
      <w:drawing>
        <wp:inline distT="0" distB="0" distL="0" distR="0">
          <wp:extent cx="1345565" cy="165735"/>
          <wp:effectExtent l="0" t="0" r="635" b="0"/>
          <wp:docPr id="1864164707" name="图片 18641647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164707" name="图片 186416470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5591" cy="1663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汉仪大宋简" w:eastAsia="汉仪大宋简"/>
        <w:sz w:val="48"/>
        <w:szCs w:val="48"/>
      </w:rPr>
      <w:t xml:space="preserve">       </w:t>
    </w:r>
    <w:r>
      <w:rPr>
        <w:rFonts w:hint="eastAsia"/>
      </w:rPr>
      <w:t xml:space="preserve">        </w:t>
    </w:r>
    <w:r>
      <w:t xml:space="preserve">                       </w:t>
    </w:r>
    <w:r>
      <w:rPr>
        <w:rFonts w:hint="eastAsia"/>
      </w:rPr>
      <w:t>值得信赖 可担重任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514528F"/>
    <w:multiLevelType w:val="multilevel"/>
    <w:tmpl w:val="4514528F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ABE3721"/>
    <w:multiLevelType w:val="multilevel"/>
    <w:tmpl w:val="6ABE3721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4F"/>
    <w:rsid w:val="000564E6"/>
    <w:rsid w:val="00067958"/>
    <w:rsid w:val="0007100D"/>
    <w:rsid w:val="00076770"/>
    <w:rsid w:val="00085789"/>
    <w:rsid w:val="00086928"/>
    <w:rsid w:val="000A7C2A"/>
    <w:rsid w:val="000C3419"/>
    <w:rsid w:val="000C74B6"/>
    <w:rsid w:val="000D27FC"/>
    <w:rsid w:val="000D66DF"/>
    <w:rsid w:val="000F5A33"/>
    <w:rsid w:val="00121CAE"/>
    <w:rsid w:val="001317F2"/>
    <w:rsid w:val="00132F15"/>
    <w:rsid w:val="001335B5"/>
    <w:rsid w:val="001601FF"/>
    <w:rsid w:val="00160A9B"/>
    <w:rsid w:val="001668C9"/>
    <w:rsid w:val="001707CE"/>
    <w:rsid w:val="001A0DD7"/>
    <w:rsid w:val="001C3CEF"/>
    <w:rsid w:val="001D1046"/>
    <w:rsid w:val="001E3800"/>
    <w:rsid w:val="001E6E54"/>
    <w:rsid w:val="00217A59"/>
    <w:rsid w:val="002218BD"/>
    <w:rsid w:val="0023765D"/>
    <w:rsid w:val="00250161"/>
    <w:rsid w:val="002555F7"/>
    <w:rsid w:val="00275400"/>
    <w:rsid w:val="00280F23"/>
    <w:rsid w:val="002827D3"/>
    <w:rsid w:val="0029064B"/>
    <w:rsid w:val="002A0028"/>
    <w:rsid w:val="002A19B1"/>
    <w:rsid w:val="002B15B8"/>
    <w:rsid w:val="002E3712"/>
    <w:rsid w:val="002E6546"/>
    <w:rsid w:val="003110B2"/>
    <w:rsid w:val="003427C9"/>
    <w:rsid w:val="00352299"/>
    <w:rsid w:val="00364F2C"/>
    <w:rsid w:val="00381252"/>
    <w:rsid w:val="00382E61"/>
    <w:rsid w:val="003872C8"/>
    <w:rsid w:val="003933A6"/>
    <w:rsid w:val="003A1782"/>
    <w:rsid w:val="003A28EE"/>
    <w:rsid w:val="003B1082"/>
    <w:rsid w:val="003C1076"/>
    <w:rsid w:val="003D4E0B"/>
    <w:rsid w:val="003E09CD"/>
    <w:rsid w:val="003E480C"/>
    <w:rsid w:val="00415D3E"/>
    <w:rsid w:val="00417F4F"/>
    <w:rsid w:val="00421B2E"/>
    <w:rsid w:val="00444E1D"/>
    <w:rsid w:val="00456F27"/>
    <w:rsid w:val="00457DA6"/>
    <w:rsid w:val="00461C23"/>
    <w:rsid w:val="00490189"/>
    <w:rsid w:val="00497792"/>
    <w:rsid w:val="004A086C"/>
    <w:rsid w:val="004A5CD6"/>
    <w:rsid w:val="004B0BFF"/>
    <w:rsid w:val="004B7CD5"/>
    <w:rsid w:val="004C414A"/>
    <w:rsid w:val="004D7530"/>
    <w:rsid w:val="004E1621"/>
    <w:rsid w:val="004F261E"/>
    <w:rsid w:val="00516358"/>
    <w:rsid w:val="005222ED"/>
    <w:rsid w:val="005232CF"/>
    <w:rsid w:val="0054724B"/>
    <w:rsid w:val="0056056B"/>
    <w:rsid w:val="005675B5"/>
    <w:rsid w:val="00581CAD"/>
    <w:rsid w:val="00594BCF"/>
    <w:rsid w:val="005A126B"/>
    <w:rsid w:val="005B1C2D"/>
    <w:rsid w:val="005B5E95"/>
    <w:rsid w:val="005C731E"/>
    <w:rsid w:val="005E57C8"/>
    <w:rsid w:val="005E6FE2"/>
    <w:rsid w:val="005F0CA4"/>
    <w:rsid w:val="005F6720"/>
    <w:rsid w:val="00621DC7"/>
    <w:rsid w:val="006305FB"/>
    <w:rsid w:val="006364B3"/>
    <w:rsid w:val="006421B0"/>
    <w:rsid w:val="006557A3"/>
    <w:rsid w:val="0066509B"/>
    <w:rsid w:val="006812A8"/>
    <w:rsid w:val="00691A50"/>
    <w:rsid w:val="006A04EC"/>
    <w:rsid w:val="006C0040"/>
    <w:rsid w:val="006D1F66"/>
    <w:rsid w:val="006E2255"/>
    <w:rsid w:val="006F3E0A"/>
    <w:rsid w:val="00707E0F"/>
    <w:rsid w:val="0073220A"/>
    <w:rsid w:val="00732CED"/>
    <w:rsid w:val="0073366B"/>
    <w:rsid w:val="0073791F"/>
    <w:rsid w:val="00745AF0"/>
    <w:rsid w:val="00747CDC"/>
    <w:rsid w:val="00754264"/>
    <w:rsid w:val="0076629C"/>
    <w:rsid w:val="00767977"/>
    <w:rsid w:val="0077155B"/>
    <w:rsid w:val="007A453D"/>
    <w:rsid w:val="007C6CD9"/>
    <w:rsid w:val="007D04D4"/>
    <w:rsid w:val="007D147E"/>
    <w:rsid w:val="007D1517"/>
    <w:rsid w:val="007D262F"/>
    <w:rsid w:val="007F22F8"/>
    <w:rsid w:val="007F3AD5"/>
    <w:rsid w:val="007F7A43"/>
    <w:rsid w:val="00812D2A"/>
    <w:rsid w:val="00833DD0"/>
    <w:rsid w:val="00845C0B"/>
    <w:rsid w:val="00855926"/>
    <w:rsid w:val="00861CF9"/>
    <w:rsid w:val="008706D7"/>
    <w:rsid w:val="008B3786"/>
    <w:rsid w:val="008B7AFB"/>
    <w:rsid w:val="008D24EE"/>
    <w:rsid w:val="008D390B"/>
    <w:rsid w:val="008E5F4A"/>
    <w:rsid w:val="008F0889"/>
    <w:rsid w:val="00916D38"/>
    <w:rsid w:val="009412B7"/>
    <w:rsid w:val="00947E99"/>
    <w:rsid w:val="00951FE0"/>
    <w:rsid w:val="00955DD5"/>
    <w:rsid w:val="00962497"/>
    <w:rsid w:val="00963581"/>
    <w:rsid w:val="00963C7F"/>
    <w:rsid w:val="00970EAD"/>
    <w:rsid w:val="009B3373"/>
    <w:rsid w:val="009F506D"/>
    <w:rsid w:val="00A016EF"/>
    <w:rsid w:val="00A11A25"/>
    <w:rsid w:val="00A141BD"/>
    <w:rsid w:val="00A213CE"/>
    <w:rsid w:val="00A43D1C"/>
    <w:rsid w:val="00A448BA"/>
    <w:rsid w:val="00A46C72"/>
    <w:rsid w:val="00A62144"/>
    <w:rsid w:val="00A74A83"/>
    <w:rsid w:val="00A770A3"/>
    <w:rsid w:val="00AA1DD4"/>
    <w:rsid w:val="00AA2708"/>
    <w:rsid w:val="00AA47B2"/>
    <w:rsid w:val="00AC0243"/>
    <w:rsid w:val="00AC5D63"/>
    <w:rsid w:val="00AF339C"/>
    <w:rsid w:val="00AF45FD"/>
    <w:rsid w:val="00AF79EE"/>
    <w:rsid w:val="00B119EF"/>
    <w:rsid w:val="00B22A9D"/>
    <w:rsid w:val="00B23F23"/>
    <w:rsid w:val="00B26BE5"/>
    <w:rsid w:val="00B30DD0"/>
    <w:rsid w:val="00B46F86"/>
    <w:rsid w:val="00B51D9F"/>
    <w:rsid w:val="00B56BB5"/>
    <w:rsid w:val="00B64ABA"/>
    <w:rsid w:val="00B66D94"/>
    <w:rsid w:val="00B73D52"/>
    <w:rsid w:val="00B805F0"/>
    <w:rsid w:val="00B91019"/>
    <w:rsid w:val="00B91ED5"/>
    <w:rsid w:val="00B92997"/>
    <w:rsid w:val="00B93D49"/>
    <w:rsid w:val="00BB37AD"/>
    <w:rsid w:val="00BB3C03"/>
    <w:rsid w:val="00BC1C27"/>
    <w:rsid w:val="00BD05D4"/>
    <w:rsid w:val="00BF51FD"/>
    <w:rsid w:val="00C03CBE"/>
    <w:rsid w:val="00C2254D"/>
    <w:rsid w:val="00C37A12"/>
    <w:rsid w:val="00C47462"/>
    <w:rsid w:val="00C66001"/>
    <w:rsid w:val="00C91A9E"/>
    <w:rsid w:val="00C9257C"/>
    <w:rsid w:val="00CA276D"/>
    <w:rsid w:val="00CA5AED"/>
    <w:rsid w:val="00CB2F38"/>
    <w:rsid w:val="00CD04E9"/>
    <w:rsid w:val="00CF414E"/>
    <w:rsid w:val="00D024CE"/>
    <w:rsid w:val="00D04E61"/>
    <w:rsid w:val="00D3196D"/>
    <w:rsid w:val="00D31AFF"/>
    <w:rsid w:val="00D330F1"/>
    <w:rsid w:val="00D504F3"/>
    <w:rsid w:val="00D729A7"/>
    <w:rsid w:val="00D85E1F"/>
    <w:rsid w:val="00DC12E3"/>
    <w:rsid w:val="00DE5F53"/>
    <w:rsid w:val="00E13DA0"/>
    <w:rsid w:val="00E14FC3"/>
    <w:rsid w:val="00E216F6"/>
    <w:rsid w:val="00E257E4"/>
    <w:rsid w:val="00E36082"/>
    <w:rsid w:val="00E5534A"/>
    <w:rsid w:val="00E91794"/>
    <w:rsid w:val="00E92B6B"/>
    <w:rsid w:val="00E940AF"/>
    <w:rsid w:val="00EA7CF7"/>
    <w:rsid w:val="00EC288C"/>
    <w:rsid w:val="00ED2C2E"/>
    <w:rsid w:val="00EE69F1"/>
    <w:rsid w:val="00EF2E5C"/>
    <w:rsid w:val="00EF4777"/>
    <w:rsid w:val="00EF6BE4"/>
    <w:rsid w:val="00EF73C7"/>
    <w:rsid w:val="00F17CF7"/>
    <w:rsid w:val="00F502EA"/>
    <w:rsid w:val="00F53E01"/>
    <w:rsid w:val="00F6060D"/>
    <w:rsid w:val="00F66213"/>
    <w:rsid w:val="00F708AA"/>
    <w:rsid w:val="00F71D46"/>
    <w:rsid w:val="00F724B8"/>
    <w:rsid w:val="00F72AFF"/>
    <w:rsid w:val="00F732E5"/>
    <w:rsid w:val="00F87B02"/>
    <w:rsid w:val="00F93EE7"/>
    <w:rsid w:val="00F948D9"/>
    <w:rsid w:val="00FA38B2"/>
    <w:rsid w:val="00FA4DE2"/>
    <w:rsid w:val="00FA585D"/>
    <w:rsid w:val="00FB17AB"/>
    <w:rsid w:val="00FB3925"/>
    <w:rsid w:val="00FC0C22"/>
    <w:rsid w:val="00FE0BC8"/>
    <w:rsid w:val="00FE3735"/>
    <w:rsid w:val="00FF1216"/>
    <w:rsid w:val="00FF2814"/>
    <w:rsid w:val="03BC6149"/>
    <w:rsid w:val="0859744E"/>
    <w:rsid w:val="0A9A215F"/>
    <w:rsid w:val="0F8E27A9"/>
    <w:rsid w:val="13E720E6"/>
    <w:rsid w:val="1FD34065"/>
    <w:rsid w:val="23734518"/>
    <w:rsid w:val="2952367D"/>
    <w:rsid w:val="296B35BA"/>
    <w:rsid w:val="2C457749"/>
    <w:rsid w:val="2D9654AD"/>
    <w:rsid w:val="2EDA36D3"/>
    <w:rsid w:val="383275E2"/>
    <w:rsid w:val="42E97D86"/>
    <w:rsid w:val="45B37F38"/>
    <w:rsid w:val="51DB2EB0"/>
    <w:rsid w:val="58BC5920"/>
    <w:rsid w:val="5A973BCA"/>
    <w:rsid w:val="5EBF3B4B"/>
    <w:rsid w:val="61645F02"/>
    <w:rsid w:val="64241A13"/>
    <w:rsid w:val="67414E9A"/>
    <w:rsid w:val="695B7E26"/>
    <w:rsid w:val="6ACC28BF"/>
    <w:rsid w:val="6AFF7DF0"/>
    <w:rsid w:val="6E2C5E87"/>
    <w:rsid w:val="6F9E5B19"/>
    <w:rsid w:val="77277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5">
    <w:name w:val="Body Text"/>
    <w:basedOn w:val="1"/>
    <w:link w:val="14"/>
    <w:qFormat/>
    <w:uiPriority w:val="1"/>
    <w:rPr>
      <w:rFonts w:ascii="宋体" w:hAnsi="宋体" w:eastAsia="宋体" w:cs="宋体"/>
      <w:sz w:val="23"/>
      <w:szCs w:val="23"/>
      <w:lang w:val="zh-CN" w:bidi="zh-CN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正文文本 字符"/>
    <w:basedOn w:val="11"/>
    <w:link w:val="5"/>
    <w:qFormat/>
    <w:uiPriority w:val="1"/>
    <w:rPr>
      <w:rFonts w:ascii="宋体" w:hAnsi="宋体" w:eastAsia="宋体" w:cs="宋体"/>
      <w:sz w:val="23"/>
      <w:szCs w:val="23"/>
      <w:lang w:val="zh-CN" w:bidi="zh-CN"/>
    </w:rPr>
  </w:style>
  <w:style w:type="character" w:customStyle="1" w:styleId="15">
    <w:name w:val="页脚 字符"/>
    <w:basedOn w:val="11"/>
    <w:link w:val="6"/>
    <w:qFormat/>
    <w:uiPriority w:val="99"/>
    <w:rPr>
      <w:sz w:val="18"/>
      <w:szCs w:val="18"/>
    </w:rPr>
  </w:style>
  <w:style w:type="character" w:customStyle="1" w:styleId="16">
    <w:name w:val="页眉 字符"/>
    <w:basedOn w:val="11"/>
    <w:link w:val="7"/>
    <w:qFormat/>
    <w:uiPriority w:val="99"/>
    <w:rPr>
      <w:sz w:val="18"/>
      <w:szCs w:val="18"/>
    </w:rPr>
  </w:style>
  <w:style w:type="paragraph" w:styleId="17">
    <w:name w:val="List Paragraph"/>
    <w:basedOn w:val="1"/>
    <w:link w:val="19"/>
    <w:qFormat/>
    <w:uiPriority w:val="34"/>
    <w:pPr>
      <w:ind w:firstLine="420" w:firstLineChars="200"/>
    </w:p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19">
    <w:name w:val="列表段落 字符"/>
    <w:link w:val="17"/>
    <w:qFormat/>
    <w:uiPriority w:val="34"/>
  </w:style>
  <w:style w:type="paragraph" w:customStyle="1" w:styleId="20">
    <w:name w:val="列出段落1"/>
    <w:basedOn w:val="1"/>
    <w:qFormat/>
    <w:uiPriority w:val="34"/>
    <w:pPr>
      <w:snapToGrid w:val="0"/>
      <w:spacing w:line="300" w:lineRule="auto"/>
      <w:ind w:firstLine="420" w:firstLineChars="200"/>
    </w:pPr>
    <w:rPr>
      <w:rFonts w:eastAsia="宋体"/>
      <w:sz w:val="28"/>
    </w:rPr>
  </w:style>
  <w:style w:type="character" w:customStyle="1" w:styleId="21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table" w:customStyle="1" w:styleId="22">
    <w:name w:val="Grid Table 4 Accent 1"/>
    <w:basedOn w:val="9"/>
    <w:uiPriority w:val="49"/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23">
    <w:name w:val="List Table 4 Accent 1"/>
    <w:basedOn w:val="9"/>
    <w:uiPriority w:val="49"/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9CC2E5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sv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sv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zjdz</Company>
  <Pages>9</Pages>
  <Words>1558</Words>
  <Characters>1951</Characters>
  <Lines>18</Lines>
  <Paragraphs>5</Paragraphs>
  <TotalTime>295</TotalTime>
  <ScaleCrop>false</ScaleCrop>
  <LinksUpToDate>false</LinksUpToDate>
  <CharactersWithSpaces>2051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2024-03-17T07:04:00Z</dcterms:created>
  <dc:creator>dpf</dc:creator>
  <cp:lastModifiedBy>卡卡鸭</cp:lastModifiedBy>
  <cp:lastPrinted>2025-03-17T06:13:00Z</cp:lastPrinted>
  <dcterms:modified xsi:type="dcterms:W3CDTF">2025-03-24T02:48:00Z</dcterms:modified>
  <cp:revision>141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AD60A770F25B4D6392E3966AE9105DCB_12</vt:lpwstr>
  </property>
</Properties>
</file>